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pPr>
      <w:r>
        <w:rPr>
          <w:b w:val="0"/>
        </w:rPr>
        <w:t>EcoGrow Future-State Discovery</w:t>
      </w:r>
    </w:p>
    <w:p>
      <w:pPr>
        <w:spacing w:after="20" w:line="240" w:lineRule="auto"/>
      </w:pPr>
      <w:r>
        <w:rPr>
          <w:b w:val="0"/>
        </w:rPr>
        <w:t>EPIC-F06 Platform Scalability and Global Readiness | Portfolio Packaging | Pass 5</w:t>
      </w:r>
    </w:p>
    <w:p>
      <w:pPr>
        <w:spacing w:after="20" w:line="240" w:lineRule="auto"/>
      </w:pPr>
      <w:r>
        <w:rPr>
          <w:b w:val="0"/>
        </w:rPr>
        <w:t>Prepared by Doris Frank, Business Analyst</w:t>
      </w:r>
    </w:p>
    <w:tbl>
      <w:tblPr>
        <w:tblW w:type="auto" w:w="0"/>
        <w:tblLook w:firstColumn="1" w:firstRow="1" w:lastColumn="0" w:lastRow="0" w:noHBand="0" w:noVBand="1" w:val="04A0"/>
      </w:tblPr>
      <w:tblGrid>
        <w:gridCol w:w="10454"/>
      </w:tblGrid>
      <w:tr>
        <w:tc>
          <w:tcPr>
            <w:tcW w:type="dxa" w:w="10454"/>
          </w:tcPr>
          <w:p>
            <w:pPr>
              <w:spacing w:before="0" w:after="0" w:line="228" w:lineRule="auto"/>
            </w:pPr>
            <w:r>
              <w:rPr>
                <w:sz w:val="15"/>
              </w:rPr>
              <w:t>Status: Final portfolio packaging of a constrained future-state system and business-case capability. This package does not amend the locked MVP, create Jira commitments, or represent approved delivery scope.</w:t>
            </w:r>
          </w:p>
        </w:tc>
      </w:tr>
    </w:tbl>
    <w:p>
      <w:pPr>
        <w:pStyle w:val="Heading1"/>
      </w:pPr>
      <w:r>
        <w:rPr>
          <w:b w:val="0"/>
        </w:rPr>
        <w:t>1. Portfolio Position</w:t>
      </w:r>
    </w:p>
    <w:p>
      <w:pPr>
        <w:spacing w:after="20" w:line="240" w:lineRule="auto"/>
      </w:pPr>
      <w:r>
        <w:rPr>
          <w:b w:val="0"/>
        </w:rPr>
        <w:t>F06 is packaged as a governed future-state scalability and global-readiness capability, not as an approved expansion commitment. I preserve the discovery boundary because adoption scenarios, scale evidence, operating readiness, geographic and content readiness, upstream capability maturity, cost assumptions and the business case remain unresolved.</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D9EAF7"/>
          </w:tcPr>
          <w:p>
            <w:pPr>
              <w:spacing w:after="0" w:line="228" w:lineRule="auto" w:before="0"/>
            </w:pPr>
            <w:r>
              <w:rPr>
                <w:b/>
                <w:sz w:val="15"/>
              </w:rPr>
              <w:t>Item</w:t>
            </w:r>
          </w:p>
        </w:tc>
        <w:tc>
          <w:tcPr>
            <w:tcW w:type="dxa" w:w="5227"/>
            <w:shd w:fill="D9EAF7"/>
          </w:tcPr>
          <w:p>
            <w:pPr>
              <w:spacing w:after="0" w:line="228" w:lineRule="auto" w:before="0"/>
            </w:pPr>
            <w:r>
              <w:rPr>
                <w:b/>
                <w:sz w:val="15"/>
              </w:rPr>
              <w:t>Final position</w:t>
            </w:r>
          </w:p>
        </w:tc>
      </w:tr>
      <w:tr>
        <w:tc>
          <w:tcPr>
            <w:tcW w:type="dxa" w:w="5227"/>
          </w:tcPr>
          <w:p>
            <w:pPr>
              <w:spacing w:after="0" w:line="228" w:lineRule="auto" w:before="0"/>
            </w:pPr>
            <w:r>
              <w:rPr>
                <w:sz w:val="15"/>
              </w:rPr>
              <w:t>Epic</w:t>
            </w:r>
          </w:p>
        </w:tc>
        <w:tc>
          <w:tcPr>
            <w:tcW w:type="dxa" w:w="5227"/>
          </w:tcPr>
          <w:p>
            <w:pPr>
              <w:spacing w:after="0" w:line="228" w:lineRule="auto" w:before="0"/>
            </w:pPr>
            <w:r>
              <w:rPr>
                <w:sz w:val="15"/>
              </w:rPr>
              <w:t>EPIC-F06 Platform Scalability and Global Readiness</w:t>
            </w:r>
          </w:p>
        </w:tc>
      </w:tr>
      <w:tr>
        <w:tc>
          <w:tcPr>
            <w:tcW w:type="dxa" w:w="5227"/>
          </w:tcPr>
          <w:p>
            <w:pPr>
              <w:spacing w:after="0" w:line="228" w:lineRule="auto" w:before="0"/>
            </w:pPr>
            <w:r>
              <w:rPr>
                <w:sz w:val="15"/>
              </w:rPr>
              <w:t>Features</w:t>
            </w:r>
          </w:p>
        </w:tc>
        <w:tc>
          <w:tcPr>
            <w:tcW w:type="dxa" w:w="5227"/>
          </w:tcPr>
          <w:p>
            <w:pPr>
              <w:spacing w:after="0" w:line="228" w:lineRule="auto" w:before="0"/>
            </w:pPr>
            <w:r>
              <w:rPr>
                <w:sz w:val="15"/>
              </w:rPr>
              <w:t>F06.1 Technical Scalability; F06.2 Operational Readiness; F06.3 Geographic and Content Readiness; F06.4 Cost and Business Case</w:t>
            </w:r>
          </w:p>
        </w:tc>
      </w:tr>
      <w:tr>
        <w:tc>
          <w:tcPr>
            <w:tcW w:type="dxa" w:w="5227"/>
          </w:tcPr>
          <w:p>
            <w:pPr>
              <w:spacing w:after="0" w:line="228" w:lineRule="auto" w:before="0"/>
            </w:pPr>
            <w:r>
              <w:rPr>
                <w:sz w:val="15"/>
              </w:rPr>
              <w:t>Future requirement IDs</w:t>
            </w:r>
          </w:p>
        </w:tc>
        <w:tc>
          <w:tcPr>
            <w:tcW w:type="dxa" w:w="5227"/>
          </w:tcPr>
          <w:p>
            <w:pPr>
              <w:spacing w:after="0" w:line="228" w:lineRule="auto" w:before="0"/>
            </w:pPr>
            <w:r>
              <w:rPr>
                <w:sz w:val="15"/>
              </w:rPr>
              <w:t>None assigned</w:t>
            </w:r>
          </w:p>
        </w:tc>
      </w:tr>
      <w:tr>
        <w:tc>
          <w:tcPr>
            <w:tcW w:type="dxa" w:w="5227"/>
          </w:tcPr>
          <w:p>
            <w:pPr>
              <w:spacing w:after="0" w:line="228" w:lineRule="auto" w:before="0"/>
            </w:pPr>
            <w:r>
              <w:rPr>
                <w:sz w:val="15"/>
              </w:rPr>
              <w:t>Future story IDs</w:t>
            </w:r>
          </w:p>
        </w:tc>
        <w:tc>
          <w:tcPr>
            <w:tcW w:type="dxa" w:w="5227"/>
          </w:tcPr>
          <w:p>
            <w:pPr>
              <w:spacing w:after="0" w:line="228" w:lineRule="auto" w:before="0"/>
            </w:pPr>
            <w:r>
              <w:rPr>
                <w:sz w:val="15"/>
              </w:rPr>
              <w:t>None assigned</w:t>
            </w:r>
          </w:p>
        </w:tc>
      </w:tr>
      <w:tr>
        <w:tc>
          <w:tcPr>
            <w:tcW w:type="dxa" w:w="5227"/>
          </w:tcPr>
          <w:p>
            <w:pPr>
              <w:spacing w:after="0" w:line="228" w:lineRule="auto" w:before="0"/>
            </w:pPr>
            <w:r>
              <w:rPr>
                <w:sz w:val="15"/>
              </w:rPr>
              <w:t>Jira</w:t>
            </w:r>
          </w:p>
        </w:tc>
        <w:tc>
          <w:tcPr>
            <w:tcW w:type="dxa" w:w="5227"/>
          </w:tcPr>
          <w:p>
            <w:pPr>
              <w:spacing w:after="0" w:line="228" w:lineRule="auto" w:before="0"/>
            </w:pPr>
            <w:r>
              <w:rPr>
                <w:sz w:val="15"/>
              </w:rPr>
              <w:t>Not authorised</w:t>
            </w:r>
          </w:p>
        </w:tc>
      </w:tr>
      <w:tr>
        <w:tc>
          <w:tcPr>
            <w:tcW w:type="dxa" w:w="5227"/>
          </w:tcPr>
          <w:p>
            <w:pPr>
              <w:spacing w:after="0" w:line="228" w:lineRule="auto" w:before="0"/>
            </w:pPr>
            <w:r>
              <w:rPr>
                <w:sz w:val="15"/>
              </w:rPr>
              <w:t>Story Points / Bugs</w:t>
            </w:r>
          </w:p>
        </w:tc>
        <w:tc>
          <w:tcPr>
            <w:tcW w:type="dxa" w:w="5227"/>
          </w:tcPr>
          <w:p>
            <w:pPr>
              <w:spacing w:after="0" w:line="228" w:lineRule="auto" w:before="0"/>
            </w:pPr>
            <w:r>
              <w:rPr>
                <w:sz w:val="15"/>
              </w:rPr>
              <w:t>None created</w:t>
            </w:r>
          </w:p>
        </w:tc>
      </w:tr>
      <w:tr>
        <w:tc>
          <w:tcPr>
            <w:tcW w:type="dxa" w:w="5227"/>
          </w:tcPr>
          <w:p>
            <w:pPr>
              <w:spacing w:after="0" w:line="228" w:lineRule="auto" w:before="0"/>
            </w:pPr>
            <w:r>
              <w:rPr>
                <w:sz w:val="15"/>
              </w:rPr>
              <w:t>Delivery state</w:t>
            </w:r>
          </w:p>
        </w:tc>
        <w:tc>
          <w:tcPr>
            <w:tcW w:type="dxa" w:w="5227"/>
          </w:tcPr>
          <w:p>
            <w:pPr>
              <w:spacing w:after="0" w:line="228" w:lineRule="auto" w:before="0"/>
            </w:pPr>
            <w:r>
              <w:rPr>
                <w:sz w:val="15"/>
              </w:rPr>
              <w:t>Constrained discovery, not approved delivery</w:t>
            </w:r>
          </w:p>
        </w:tc>
      </w:tr>
    </w:tbl>
    <w:p>
      <w:pPr>
        <w:pStyle w:val="Heading1"/>
      </w:pPr>
      <w:r>
        <w:rPr>
          <w:b w:val="0"/>
        </w:rPr>
        <w:t>2. Executive Story</w:t>
      </w:r>
    </w:p>
    <w:p>
      <w:pPr>
        <w:spacing w:after="20" w:line="240" w:lineRule="auto"/>
      </w:pPr>
      <w:r>
        <w:rPr>
          <w:b w:val="0"/>
        </w:rPr>
        <w:t>I explored whether EcoGrow could support wider adoption without treating scale as an automatic source of value. The core question is whether technical capacity, operational readiness, geographic and content conditions, upstream capability maturity, cost control and a credible business case provide enough evidence to justify expansion.</w:t>
      </w:r>
    </w:p>
    <w:p>
      <w:pPr>
        <w:pStyle w:val="Heading1"/>
      </w:pPr>
      <w:r>
        <w:rPr>
          <w:b w:val="0"/>
        </w:rPr>
        <w:t>3. What F06 Adds</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D9EAF7"/>
          </w:tcPr>
          <w:p>
            <w:pPr>
              <w:spacing w:after="0" w:line="228" w:lineRule="auto" w:before="0"/>
            </w:pPr>
            <w:r>
              <w:rPr>
                <w:b/>
                <w:sz w:val="15"/>
              </w:rPr>
              <w:t>Capability</w:t>
            </w:r>
          </w:p>
        </w:tc>
        <w:tc>
          <w:tcPr>
            <w:tcW w:type="dxa" w:w="5227"/>
            <w:shd w:fill="D9EAF7"/>
          </w:tcPr>
          <w:p>
            <w:pPr>
              <w:spacing w:after="0" w:line="228" w:lineRule="auto" w:before="0"/>
            </w:pPr>
            <w:r>
              <w:rPr>
                <w:b/>
                <w:sz w:val="15"/>
              </w:rPr>
              <w:t>Portfolio position</w:t>
            </w:r>
          </w:p>
        </w:tc>
      </w:tr>
      <w:tr>
        <w:tc>
          <w:tcPr>
            <w:tcW w:type="dxa" w:w="5227"/>
          </w:tcPr>
          <w:p>
            <w:pPr>
              <w:spacing w:after="0" w:line="228" w:lineRule="auto" w:before="0"/>
            </w:pPr>
            <w:r>
              <w:rPr>
                <w:sz w:val="15"/>
              </w:rPr>
              <w:t>F06.1 Technical Scalability</w:t>
            </w:r>
          </w:p>
        </w:tc>
        <w:tc>
          <w:tcPr>
            <w:tcW w:type="dxa" w:w="5227"/>
          </w:tcPr>
          <w:p>
            <w:pPr>
              <w:spacing w:after="0" w:line="228" w:lineRule="auto" w:before="0"/>
            </w:pPr>
            <w:r>
              <w:rPr>
                <w:sz w:val="15"/>
              </w:rPr>
              <w:t>Assess capacity, performance, integration and resilience against validated adoption scenarios without assuming a final architecture or traffic target.</w:t>
            </w:r>
          </w:p>
        </w:tc>
      </w:tr>
      <w:tr>
        <w:tc>
          <w:tcPr>
            <w:tcW w:type="dxa" w:w="5227"/>
          </w:tcPr>
          <w:p>
            <w:pPr>
              <w:spacing w:after="0" w:line="228" w:lineRule="auto" w:before="0"/>
            </w:pPr>
            <w:r>
              <w:rPr>
                <w:sz w:val="15"/>
              </w:rPr>
              <w:t>F06.2 Operational Readiness</w:t>
            </w:r>
          </w:p>
        </w:tc>
        <w:tc>
          <w:tcPr>
            <w:tcW w:type="dxa" w:w="5227"/>
          </w:tcPr>
          <w:p>
            <w:pPr>
              <w:spacing w:after="0" w:line="228" w:lineRule="auto" w:before="0"/>
            </w:pPr>
            <w:r>
              <w:rPr>
                <w:sz w:val="15"/>
              </w:rPr>
              <w:t>Assess support, monitoring, incident response, ownership and continuity conditions without assuming an approved operating model.</w:t>
            </w:r>
          </w:p>
        </w:tc>
      </w:tr>
      <w:tr>
        <w:tc>
          <w:tcPr>
            <w:tcW w:type="dxa" w:w="5227"/>
          </w:tcPr>
          <w:p>
            <w:pPr>
              <w:spacing w:after="0" w:line="228" w:lineRule="auto" w:before="0"/>
            </w:pPr>
            <w:r>
              <w:rPr>
                <w:sz w:val="15"/>
              </w:rPr>
              <w:t>F06.3 Geographic and Content Readiness</w:t>
            </w:r>
          </w:p>
        </w:tc>
        <w:tc>
          <w:tcPr>
            <w:tcW w:type="dxa" w:w="5227"/>
          </w:tcPr>
          <w:p>
            <w:pPr>
              <w:spacing w:after="0" w:line="228" w:lineRule="auto" w:before="0"/>
            </w:pPr>
            <w:r>
              <w:rPr>
                <w:sz w:val="15"/>
              </w:rPr>
              <w:t>Assess geographic scope, localisation support, content operations and regional readiness while keeping F04 as the plant-knowledge and localisation capability.</w:t>
            </w:r>
          </w:p>
        </w:tc>
      </w:tr>
      <w:tr>
        <w:tc>
          <w:tcPr>
            <w:tcW w:type="dxa" w:w="5227"/>
          </w:tcPr>
          <w:p>
            <w:pPr>
              <w:spacing w:after="0" w:line="228" w:lineRule="auto" w:before="0"/>
            </w:pPr>
            <w:r>
              <w:rPr>
                <w:sz w:val="15"/>
              </w:rPr>
              <w:t>F06.4 Cost and Business Case</w:t>
            </w:r>
          </w:p>
        </w:tc>
        <w:tc>
          <w:tcPr>
            <w:tcW w:type="dxa" w:w="5227"/>
          </w:tcPr>
          <w:p>
            <w:pPr>
              <w:spacing w:after="0" w:line="228" w:lineRule="auto" w:before="0"/>
            </w:pPr>
            <w:r>
              <w:rPr>
                <w:sz w:val="15"/>
              </w:rPr>
              <w:t>Assess usage scenarios, cost drivers, investment assumptions and evidence needed for a scale decision without asserting ROI or market expansion.</w:t>
            </w:r>
          </w:p>
        </w:tc>
      </w:tr>
    </w:tbl>
    <w:p>
      <w:pPr>
        <w:pStyle w:val="Heading1"/>
      </w:pPr>
      <w:r>
        <w:rPr>
          <w:b w:val="0"/>
        </w:rPr>
        <w:t>4. Cross-Epic Progression Signal</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D9EAF7"/>
          </w:tcPr>
          <w:p>
            <w:pPr>
              <w:spacing w:after="0" w:line="228" w:lineRule="auto" w:before="0"/>
            </w:pPr>
            <w:r>
              <w:rPr>
                <w:b/>
                <w:sz w:val="15"/>
              </w:rPr>
              <w:t>Epic</w:t>
            </w:r>
          </w:p>
        </w:tc>
        <w:tc>
          <w:tcPr>
            <w:tcW w:type="dxa" w:w="5227"/>
            <w:shd w:fill="D9EAF7"/>
          </w:tcPr>
          <w:p>
            <w:pPr>
              <w:spacing w:after="0" w:line="228" w:lineRule="auto" w:before="0"/>
            </w:pPr>
            <w:r>
              <w:rPr>
                <w:b/>
                <w:sz w:val="15"/>
              </w:rPr>
              <w:t>Boundary</w:t>
            </w:r>
          </w:p>
        </w:tc>
      </w:tr>
      <w:tr>
        <w:tc>
          <w:tcPr>
            <w:tcW w:type="dxa" w:w="5227"/>
          </w:tcPr>
          <w:p>
            <w:pPr>
              <w:spacing w:after="0" w:line="228" w:lineRule="auto" w:before="0"/>
            </w:pPr>
            <w:r>
              <w:rPr>
                <w:sz w:val="15"/>
              </w:rPr>
              <w:t>F01 Smart Plant Care</w:t>
            </w:r>
          </w:p>
        </w:tc>
        <w:tc>
          <w:tcPr>
            <w:tcW w:type="dxa" w:w="5227"/>
          </w:tcPr>
          <w:p>
            <w:pPr>
              <w:spacing w:after="0" w:line="228" w:lineRule="auto" w:before="0"/>
            </w:pPr>
            <w:r>
              <w:rPr>
                <w:sz w:val="15"/>
              </w:rPr>
              <w:t>Plant-specific care and watering remain separate.</w:t>
            </w:r>
          </w:p>
        </w:tc>
      </w:tr>
      <w:tr>
        <w:tc>
          <w:tcPr>
            <w:tcW w:type="dxa" w:w="5227"/>
          </w:tcPr>
          <w:p>
            <w:pPr>
              <w:spacing w:after="0" w:line="228" w:lineRule="auto" w:before="0"/>
            </w:pPr>
            <w:r>
              <w:rPr>
                <w:sz w:val="15"/>
              </w:rPr>
              <w:t>F02 Weather-Aware Gardening</w:t>
            </w:r>
          </w:p>
        </w:tc>
        <w:tc>
          <w:tcPr>
            <w:tcW w:type="dxa" w:w="5227"/>
          </w:tcPr>
          <w:p>
            <w:pPr>
              <w:spacing w:after="0" w:line="228" w:lineRule="auto" w:before="0"/>
            </w:pPr>
            <w:r>
              <w:rPr>
                <w:sz w:val="15"/>
              </w:rPr>
              <w:t>Weather-aware context remains separate.</w:t>
            </w:r>
          </w:p>
        </w:tc>
      </w:tr>
      <w:tr>
        <w:tc>
          <w:tcPr>
            <w:tcW w:type="dxa" w:w="5227"/>
          </w:tcPr>
          <w:p>
            <w:pPr>
              <w:spacing w:after="0" w:line="228" w:lineRule="auto" w:before="0"/>
            </w:pPr>
            <w:r>
              <w:rPr>
                <w:sz w:val="15"/>
              </w:rPr>
              <w:t>F03 Plant Health and Protection</w:t>
            </w:r>
          </w:p>
        </w:tc>
        <w:tc>
          <w:tcPr>
            <w:tcW w:type="dxa" w:w="5227"/>
          </w:tcPr>
          <w:p>
            <w:pPr>
              <w:spacing w:after="0" w:line="228" w:lineRule="auto" w:before="0"/>
            </w:pPr>
            <w:r>
              <w:rPr>
                <w:sz w:val="15"/>
              </w:rPr>
              <w:t>Plant-health identification and treatment remain separate.</w:t>
            </w:r>
          </w:p>
        </w:tc>
      </w:tr>
      <w:tr>
        <w:tc>
          <w:tcPr>
            <w:tcW w:type="dxa" w:w="5227"/>
          </w:tcPr>
          <w:p>
            <w:pPr>
              <w:spacing w:after="0" w:line="228" w:lineRule="auto" w:before="0"/>
            </w:pPr>
            <w:r>
              <w:rPr>
                <w:sz w:val="15"/>
              </w:rPr>
              <w:t>F04 Global Plant Intelligence</w:t>
            </w:r>
          </w:p>
        </w:tc>
        <w:tc>
          <w:tcPr>
            <w:tcW w:type="dxa" w:w="5227"/>
          </w:tcPr>
          <w:p>
            <w:pPr>
              <w:spacing w:after="0" w:line="228" w:lineRule="auto" w:before="0"/>
            </w:pPr>
            <w:r>
              <w:rPr>
                <w:sz w:val="15"/>
              </w:rPr>
              <w:t>Regional plant intelligence remains separate, and F04 retains localisation capability ownership.</w:t>
            </w:r>
          </w:p>
        </w:tc>
      </w:tr>
      <w:tr>
        <w:tc>
          <w:tcPr>
            <w:tcW w:type="dxa" w:w="5227"/>
          </w:tcPr>
          <w:p>
            <w:pPr>
              <w:spacing w:after="0" w:line="228" w:lineRule="auto" w:before="0"/>
            </w:pPr>
            <w:r>
              <w:rPr>
                <w:sz w:val="15"/>
              </w:rPr>
              <w:t>F05 Personalised Garden Experience</w:t>
            </w:r>
          </w:p>
        </w:tc>
        <w:tc>
          <w:tcPr>
            <w:tcW w:type="dxa" w:w="5227"/>
          </w:tcPr>
          <w:p>
            <w:pPr>
              <w:spacing w:after="0" w:line="228" w:lineRule="auto" w:before="0"/>
            </w:pPr>
            <w:r>
              <w:rPr>
                <w:sz w:val="15"/>
              </w:rPr>
              <w:t>Personalisation remains separate.</w:t>
            </w:r>
          </w:p>
        </w:tc>
      </w:tr>
      <w:tr>
        <w:tc>
          <w:tcPr>
            <w:tcW w:type="dxa" w:w="5227"/>
          </w:tcPr>
          <w:p>
            <w:pPr>
              <w:spacing w:after="0" w:line="228" w:lineRule="auto" w:before="0"/>
            </w:pPr>
            <w:r>
              <w:rPr>
                <w:sz w:val="15"/>
              </w:rPr>
              <w:t>F06 Platform Scalability and Global Readiness</w:t>
            </w:r>
          </w:p>
        </w:tc>
        <w:tc>
          <w:tcPr>
            <w:tcW w:type="dxa" w:w="5227"/>
          </w:tcPr>
          <w:p>
            <w:pPr>
              <w:spacing w:after="0" w:line="228" w:lineRule="auto" w:before="0"/>
            </w:pPr>
            <w:r>
              <w:rPr>
                <w:sz w:val="15"/>
              </w:rPr>
              <w:t>F06 owns the broader platform-scale and global-readiness system capability.</w:t>
            </w:r>
          </w:p>
        </w:tc>
      </w:tr>
    </w:tbl>
    <w:p>
      <w:pPr>
        <w:spacing w:after="20" w:line="240" w:lineRule="auto"/>
      </w:pPr>
      <w:r>
        <w:rPr>
          <w:b w:val="0"/>
        </w:rPr>
        <w:t>The five-epic sibling boundary is preserved consistently. F06 does not absorb functional ownership from F01 through F05, and the upstream maturity condition remains explicit.</w:t>
      </w:r>
    </w:p>
    <w:p>
      <w:pPr>
        <w:pStyle w:val="Heading1"/>
      </w:pPr>
      <w:r>
        <w:rPr>
          <w:b w:val="0"/>
        </w:rPr>
        <w:t>5. Governance and Business-Case Signal</w:t>
      </w:r>
    </w:p>
    <w:p>
      <w:pPr>
        <w:spacing w:after="20" w:line="240" w:lineRule="auto"/>
      </w:pPr>
      <w:r>
        <w:rPr>
          <w:b w:val="0"/>
        </w:rPr>
        <w:t>The strongest F06 signal is disciplined scale governance. I keep adoption evidence, technical capacity, operating readiness, geographic and content readiness, upstream maturity, cost assumptions and business-case evidence as progression conditions rather than treating them as implementation details.</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D9EAF7"/>
          </w:tcPr>
          <w:p>
            <w:pPr>
              <w:spacing w:after="0" w:line="228" w:lineRule="auto" w:before="0"/>
            </w:pPr>
            <w:r>
              <w:rPr>
                <w:b/>
                <w:sz w:val="15"/>
              </w:rPr>
              <w:t>Domain</w:t>
            </w:r>
          </w:p>
        </w:tc>
        <w:tc>
          <w:tcPr>
            <w:tcW w:type="dxa" w:w="5227"/>
            <w:shd w:fill="D9EAF7"/>
          </w:tcPr>
          <w:p>
            <w:pPr>
              <w:spacing w:after="0" w:line="228" w:lineRule="auto" w:before="0"/>
            </w:pPr>
            <w:r>
              <w:rPr>
                <w:b/>
                <w:sz w:val="15"/>
              </w:rPr>
              <w:t>Current position</w:t>
            </w:r>
          </w:p>
        </w:tc>
      </w:tr>
      <w:tr>
        <w:tc>
          <w:tcPr>
            <w:tcW w:type="dxa" w:w="5227"/>
          </w:tcPr>
          <w:p>
            <w:pPr>
              <w:spacing w:after="0" w:line="228" w:lineRule="auto" w:before="0"/>
            </w:pPr>
            <w:r>
              <w:rPr>
                <w:sz w:val="15"/>
              </w:rPr>
              <w:t>Scale evidence</w:t>
            </w:r>
          </w:p>
        </w:tc>
        <w:tc>
          <w:tcPr>
            <w:tcW w:type="dxa" w:w="5227"/>
          </w:tcPr>
          <w:p>
            <w:pPr>
              <w:spacing w:after="0" w:line="228" w:lineRule="auto" w:before="0"/>
            </w:pPr>
            <w:r>
              <w:rPr>
                <w:sz w:val="15"/>
              </w:rPr>
              <w:t>Open and gated before progression</w:t>
            </w:r>
          </w:p>
        </w:tc>
      </w:tr>
      <w:tr>
        <w:tc>
          <w:tcPr>
            <w:tcW w:type="dxa" w:w="5227"/>
          </w:tcPr>
          <w:p>
            <w:pPr>
              <w:spacing w:after="0" w:line="228" w:lineRule="auto" w:before="0"/>
            </w:pPr>
            <w:r>
              <w:rPr>
                <w:sz w:val="15"/>
              </w:rPr>
              <w:t>Operational readiness</w:t>
            </w:r>
          </w:p>
        </w:tc>
        <w:tc>
          <w:tcPr>
            <w:tcW w:type="dxa" w:w="5227"/>
          </w:tcPr>
          <w:p>
            <w:pPr>
              <w:spacing w:after="0" w:line="228" w:lineRule="auto" w:before="0"/>
            </w:pPr>
            <w:r>
              <w:rPr>
                <w:sz w:val="15"/>
              </w:rPr>
              <w:t>Open; ownership, monitoring and continuity remain to be defined</w:t>
            </w:r>
          </w:p>
        </w:tc>
      </w:tr>
      <w:tr>
        <w:tc>
          <w:tcPr>
            <w:tcW w:type="dxa" w:w="5227"/>
          </w:tcPr>
          <w:p>
            <w:pPr>
              <w:spacing w:after="0" w:line="228" w:lineRule="auto" w:before="0"/>
            </w:pPr>
            <w:r>
              <w:rPr>
                <w:sz w:val="15"/>
              </w:rPr>
              <w:t>Geographic and content readiness</w:t>
            </w:r>
          </w:p>
        </w:tc>
        <w:tc>
          <w:tcPr>
            <w:tcW w:type="dxa" w:w="5227"/>
          </w:tcPr>
          <w:p>
            <w:pPr>
              <w:spacing w:after="0" w:line="228" w:lineRule="auto" w:before="0"/>
            </w:pPr>
            <w:r>
              <w:rPr>
                <w:sz w:val="15"/>
              </w:rPr>
              <w:t>Open; regional scope and localisation capacity remain to be defined</w:t>
            </w:r>
          </w:p>
        </w:tc>
      </w:tr>
      <w:tr>
        <w:tc>
          <w:tcPr>
            <w:tcW w:type="dxa" w:w="5227"/>
          </w:tcPr>
          <w:p>
            <w:pPr>
              <w:spacing w:after="0" w:line="228" w:lineRule="auto" w:before="0"/>
            </w:pPr>
            <w:r>
              <w:rPr>
                <w:sz w:val="15"/>
              </w:rPr>
              <w:t>Upstream capability maturity</w:t>
            </w:r>
          </w:p>
        </w:tc>
        <w:tc>
          <w:tcPr>
            <w:tcW w:type="dxa" w:w="5227"/>
          </w:tcPr>
          <w:p>
            <w:pPr>
              <w:spacing w:after="0" w:line="228" w:lineRule="auto" w:before="0"/>
            </w:pPr>
            <w:r>
              <w:rPr>
                <w:sz w:val="15"/>
              </w:rPr>
              <w:t>Open; F01 to F05 maturity, evidence or bounding must be confirmed</w:t>
            </w:r>
          </w:p>
        </w:tc>
      </w:tr>
      <w:tr>
        <w:tc>
          <w:tcPr>
            <w:tcW w:type="dxa" w:w="5227"/>
          </w:tcPr>
          <w:p>
            <w:pPr>
              <w:spacing w:after="0" w:line="228" w:lineRule="auto" w:before="0"/>
            </w:pPr>
            <w:r>
              <w:rPr>
                <w:sz w:val="15"/>
              </w:rPr>
              <w:t>Cost model</w:t>
            </w:r>
          </w:p>
        </w:tc>
        <w:tc>
          <w:tcPr>
            <w:tcW w:type="dxa" w:w="5227"/>
          </w:tcPr>
          <w:p>
            <w:pPr>
              <w:spacing w:after="0" w:line="228" w:lineRule="auto" w:before="0"/>
            </w:pPr>
            <w:r>
              <w:rPr>
                <w:sz w:val="15"/>
              </w:rPr>
              <w:t>Open; scale drivers and assumptions remain to be established</w:t>
            </w:r>
          </w:p>
        </w:tc>
      </w:tr>
      <w:tr>
        <w:tc>
          <w:tcPr>
            <w:tcW w:type="dxa" w:w="5227"/>
          </w:tcPr>
          <w:p>
            <w:pPr>
              <w:spacing w:after="0" w:line="228" w:lineRule="auto" w:before="0"/>
            </w:pPr>
            <w:r>
              <w:rPr>
                <w:sz w:val="15"/>
              </w:rPr>
              <w:t>Business case</w:t>
            </w:r>
          </w:p>
        </w:tc>
        <w:tc>
          <w:tcPr>
            <w:tcW w:type="dxa" w:w="5227"/>
          </w:tcPr>
          <w:p>
            <w:pPr>
              <w:spacing w:after="0" w:line="228" w:lineRule="auto" w:before="0"/>
            </w:pPr>
            <w:r>
              <w:rPr>
                <w:sz w:val="15"/>
              </w:rPr>
              <w:t>Evidence-based GreenSphere decision required</w:t>
            </w:r>
          </w:p>
        </w:tc>
      </w:tr>
    </w:tbl>
    <w:p>
      <w:pPr>
        <w:pStyle w:val="Heading1"/>
      </w:pPr>
      <w:r>
        <w:rPr>
          <w:b w:val="0"/>
        </w:rPr>
        <w:t>6. Ten-Gate Progression Bar</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D9EAF7"/>
          </w:tcPr>
          <w:p>
            <w:pPr>
              <w:spacing w:after="0" w:line="228" w:lineRule="auto" w:before="0"/>
            </w:pPr>
            <w:r>
              <w:rPr>
                <w:b/>
                <w:sz w:val="15"/>
              </w:rPr>
              <w:t>Gate</w:t>
            </w:r>
          </w:p>
        </w:tc>
        <w:tc>
          <w:tcPr>
            <w:tcW w:type="dxa" w:w="5227"/>
            <w:shd w:fill="D9EAF7"/>
          </w:tcPr>
          <w:p>
            <w:pPr>
              <w:spacing w:after="0" w:line="228" w:lineRule="auto" w:before="0"/>
            </w:pPr>
            <w:r>
              <w:rPr>
                <w:b/>
                <w:sz w:val="15"/>
              </w:rPr>
              <w:t>Portfolio status</w:t>
            </w:r>
          </w:p>
        </w:tc>
      </w:tr>
      <w:tr>
        <w:tc>
          <w:tcPr>
            <w:tcW w:type="dxa" w:w="5227"/>
          </w:tcPr>
          <w:p>
            <w:pPr>
              <w:spacing w:after="0" w:line="228" w:lineRule="auto" w:before="0"/>
            </w:pPr>
            <w:r>
              <w:rPr>
                <w:sz w:val="15"/>
              </w:rPr>
              <w:t>1. Problem and adoption validation</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2. Scale evidence</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3. Architecture and integration</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4. Operational readiness</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5. Geographic readiness</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6. Content readiness</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7. Upstream capability maturity</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8. Cost model</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9. Business case</w:t>
            </w:r>
          </w:p>
        </w:tc>
        <w:tc>
          <w:tcPr>
            <w:tcW w:type="dxa" w:w="5227"/>
          </w:tcPr>
          <w:p>
            <w:pPr>
              <w:spacing w:after="0" w:line="228" w:lineRule="auto" w:before="0"/>
            </w:pPr>
            <w:r>
              <w:rPr>
                <w:sz w:val="15"/>
              </w:rPr>
              <w:t>Open</w:t>
            </w:r>
          </w:p>
        </w:tc>
      </w:tr>
      <w:tr>
        <w:tc>
          <w:tcPr>
            <w:tcW w:type="dxa" w:w="5227"/>
          </w:tcPr>
          <w:p>
            <w:pPr>
              <w:spacing w:after="0" w:line="228" w:lineRule="auto" w:before="0"/>
            </w:pPr>
            <w:r>
              <w:rPr>
                <w:sz w:val="15"/>
              </w:rPr>
              <w:t>10. Value and priority</w:t>
            </w:r>
          </w:p>
        </w:tc>
        <w:tc>
          <w:tcPr>
            <w:tcW w:type="dxa" w:w="5227"/>
          </w:tcPr>
          <w:p>
            <w:pPr>
              <w:spacing w:after="0" w:line="228" w:lineRule="auto" w:before="0"/>
            </w:pPr>
            <w:r>
              <w:rPr>
                <w:sz w:val="15"/>
              </w:rPr>
              <w:t>Decision required after preceding evidence is established</w:t>
            </w:r>
          </w:p>
        </w:tc>
      </w:tr>
    </w:tbl>
    <w:p>
      <w:pPr>
        <w:pStyle w:val="Heading1"/>
      </w:pPr>
      <w:r>
        <w:rPr>
          <w:b w:val="0"/>
        </w:rPr>
        <w:t>7. Evidence and Portfolio Boundary</w:t>
      </w:r>
    </w:p>
    <w:p>
      <w:pPr>
        <w:spacing w:after="20" w:line="240" w:lineRule="auto"/>
      </w:pPr>
      <w:r>
        <w:rPr>
          <w:b w:val="0"/>
        </w:rPr>
        <w:t>This package demonstrates future-state systems analysis, requirements-engineering discipline, cross-epic boundary control, scale governance and business-case thinking. It does not claim approved expansion, production readiness, product acceptance, built functionality, sprint delivery, realised benefits or an approved investment case.</w:t>
      </w:r>
    </w:p>
    <w:p>
      <w:pPr>
        <w:pStyle w:val="Heading1"/>
      </w:pPr>
      <w:r>
        <w:rPr>
          <w:b w:val="0"/>
        </w:rPr>
        <w:t>8. Traceability</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D9EAF7"/>
          </w:tcPr>
          <w:p>
            <w:pPr>
              <w:spacing w:after="0" w:line="228" w:lineRule="auto" w:before="0"/>
            </w:pPr>
            <w:r>
              <w:rPr>
                <w:b/>
                <w:sz w:val="15"/>
              </w:rPr>
              <w:t>Source</w:t>
            </w:r>
          </w:p>
        </w:tc>
        <w:tc>
          <w:tcPr>
            <w:tcW w:type="dxa" w:w="5227"/>
            <w:shd w:fill="D9EAF7"/>
          </w:tcPr>
          <w:p>
            <w:pPr>
              <w:spacing w:after="0" w:line="228" w:lineRule="auto" w:before="0"/>
            </w:pPr>
            <w:r>
              <w:rPr>
                <w:b/>
                <w:sz w:val="15"/>
              </w:rPr>
              <w:t>Packaging use</w:t>
            </w:r>
          </w:p>
        </w:tc>
      </w:tr>
      <w:tr>
        <w:tc>
          <w:tcPr>
            <w:tcW w:type="dxa" w:w="5227"/>
          </w:tcPr>
          <w:p>
            <w:pPr>
              <w:spacing w:after="0" w:line="228" w:lineRule="auto" w:before="0"/>
            </w:pPr>
            <w:r>
              <w:rPr>
                <w:sz w:val="15"/>
              </w:rPr>
              <w:t>Revalidated Product Vision and Capability Map</w:t>
            </w:r>
          </w:p>
        </w:tc>
        <w:tc>
          <w:tcPr>
            <w:tcW w:type="dxa" w:w="5227"/>
          </w:tcPr>
          <w:p>
            <w:pPr>
              <w:spacing w:after="0" w:line="228" w:lineRule="auto" w:before="0"/>
            </w:pPr>
            <w:r>
              <w:rPr>
                <w:sz w:val="15"/>
              </w:rPr>
              <w:t>Confirms the F06 opportunity, five-epic sibling boundary, broader system scope and evidence-before-scale posture.</w:t>
            </w:r>
          </w:p>
        </w:tc>
      </w:tr>
      <w:tr>
        <w:tc>
          <w:tcPr>
            <w:tcW w:type="dxa" w:w="5227"/>
          </w:tcPr>
          <w:p>
            <w:pPr>
              <w:spacing w:after="0" w:line="228" w:lineRule="auto" w:before="0"/>
            </w:pPr>
            <w:r>
              <w:rPr>
                <w:sz w:val="15"/>
              </w:rPr>
              <w:t>F06 Deep Discovery Pass 2</w:t>
            </w:r>
          </w:p>
        </w:tc>
        <w:tc>
          <w:tcPr>
            <w:tcW w:type="dxa" w:w="5227"/>
          </w:tcPr>
          <w:p>
            <w:pPr>
              <w:spacing w:after="0" w:line="228" w:lineRule="auto" w:before="0"/>
            </w:pPr>
            <w:r>
              <w:rPr>
                <w:sz w:val="15"/>
              </w:rPr>
              <w:t>Source for the four features, candidate directions, NFR themes, dependency question and ten-gate progression model.</w:t>
            </w:r>
          </w:p>
        </w:tc>
      </w:tr>
      <w:tr>
        <w:tc>
          <w:tcPr>
            <w:tcW w:type="dxa" w:w="5227"/>
          </w:tcPr>
          <w:p>
            <w:pPr>
              <w:spacing w:after="0" w:line="228" w:lineRule="auto" w:before="0"/>
            </w:pPr>
            <w:r>
              <w:rPr>
                <w:sz w:val="15"/>
              </w:rPr>
              <w:t>F06 Delivery Translation Pass 3, corrected</w:t>
            </w:r>
          </w:p>
        </w:tc>
        <w:tc>
          <w:tcPr>
            <w:tcW w:type="dxa" w:w="5227"/>
          </w:tcPr>
          <w:p>
            <w:pPr>
              <w:spacing w:after="0" w:line="228" w:lineRule="auto" w:before="0"/>
            </w:pPr>
            <w:r>
              <w:rPr>
                <w:sz w:val="15"/>
              </w:rPr>
              <w:t>Source for the constrained delivery shape, five-epic boundary wording and ten-gate progression integrity.</w:t>
            </w:r>
          </w:p>
        </w:tc>
      </w:tr>
      <w:tr>
        <w:tc>
          <w:tcPr>
            <w:tcW w:type="dxa" w:w="5227"/>
          </w:tcPr>
          <w:p>
            <w:pPr>
              <w:spacing w:after="0" w:line="228" w:lineRule="auto" w:before="0"/>
            </w:pPr>
            <w:r>
              <w:rPr>
                <w:sz w:val="15"/>
              </w:rPr>
              <w:t>F06 Cross-Artifact QA Pass 4</w:t>
            </w:r>
          </w:p>
        </w:tc>
        <w:tc>
          <w:tcPr>
            <w:tcW w:type="dxa" w:w="5227"/>
          </w:tcPr>
          <w:p>
            <w:pPr>
              <w:spacing w:after="0" w:line="228" w:lineRule="auto" w:before="0"/>
            </w:pPr>
            <w:r>
              <w:rPr>
                <w:sz w:val="15"/>
              </w:rPr>
              <w:t>Independent QA against Pass 2, Pass 3, the Vision Map, F01 through F05 packages and the locked MVP baseline.</w:t>
            </w:r>
          </w:p>
        </w:tc>
      </w:tr>
      <w:tr>
        <w:tc>
          <w:tcPr>
            <w:tcW w:type="dxa" w:w="5227"/>
          </w:tcPr>
          <w:p>
            <w:pPr>
              <w:spacing w:after="0" w:line="228" w:lineRule="auto" w:before="0"/>
            </w:pPr>
            <w:r>
              <w:rPr>
                <w:sz w:val="15"/>
              </w:rPr>
              <w:t>Locked EcoGrow MVP</w:t>
            </w:r>
          </w:p>
        </w:tc>
        <w:tc>
          <w:tcPr>
            <w:tcW w:type="dxa" w:w="5227"/>
          </w:tcPr>
          <w:p>
            <w:pPr>
              <w:spacing w:after="0" w:line="228" w:lineRule="auto" w:before="0"/>
            </w:pPr>
            <w:r>
              <w:rPr>
                <w:sz w:val="15"/>
              </w:rPr>
              <w:t>Historical baseline. No FR-01 to FR-09 changes are made here.</w:t>
            </w:r>
          </w:p>
        </w:tc>
      </w:tr>
    </w:tbl>
    <w:p>
      <w:pPr>
        <w:pStyle w:val="Heading1"/>
      </w:pPr>
      <w:r>
        <w:rPr>
          <w:b w:val="0"/>
        </w:rPr>
        <w:t>9. Recruiter-Facing Signal</w:t>
      </w:r>
    </w:p>
    <w:p>
      <w:pPr>
        <w:spacing w:after="20" w:line="240" w:lineRule="auto"/>
      </w:pPr>
      <w:r>
        <w:rPr>
          <w:b w:val="0"/>
        </w:rPr>
        <w:t>F06 shows that I can frame platform scalability as a governed systems-analysis problem rather than a generic growth claim. The portfolio signal is evidence-based scale assessment, cross-epic dependency management, operational readiness thinking, cost discipline, business-case framing and deliberate progression control.</w:t>
      </w:r>
    </w:p>
    <w:p>
      <w:pPr>
        <w:pStyle w:val="Heading1"/>
      </w:pPr>
      <w:r>
        <w:rPr>
          <w:b w:val="0"/>
        </w:rPr>
        <w:t>10. Final Packaging Decision</w:t>
      </w:r>
    </w:p>
    <w:p>
      <w:pPr>
        <w:spacing w:after="20" w:line="240" w:lineRule="auto"/>
      </w:pPr>
      <w:r>
        <w:rPr>
          <w:b w:val="0"/>
        </w:rPr>
        <w:t>F06 is portfolio-complete as a future-state discovery package, but it is not delivery-ready. Pass 5 packages the work without upgrading open scale, operational, geographic, upstream maturity, cost or business-case questions into approved commitments. Any future progression should begin by resolving the ten-gate bar and then independently reassessing readiness.</w:t>
      </w:r>
    </w:p>
    <w:p>
      <w:pPr>
        <w:spacing w:after="20" w:line="240" w:lineRule="auto"/>
      </w:pPr>
      <w:r>
        <w:rPr>
          <w:b w:val="0"/>
        </w:rPr>
        <w:t>EPIC-F06 sequence packaged: Pass 2 • Pass 3 • Pass 4 • Pass 5</w:t>
      </w:r>
    </w:p>
    <w:sectPr w:rsidR="00FC693F" w:rsidRPr="0006063C" w:rsidSect="00034616">
      <w:footerReference w:type="default" r:id="rId9"/>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Prepared by Doris Frank, Business Analyst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Aptos Display" w:hAnsi="Aptos Display"/>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EcoGrow EPIC-F05 Personalised Garden Experience | Portfolio Packaging | Pass 5</dc:title>
  <dc:subject>Future-state discovery portfolio packaging</dc:subject>
  <dc:creator>Doris Frank</dc:creator>
  <cp:keywords/>
  <dc:description>generated by python-docx</dc:description>
  <cp:lastModifiedBy/>
  <cp:revision>1</cp:revision>
  <dcterms:created xsi:type="dcterms:W3CDTF">2013-12-23T23:15:00Z</dcterms:created>
  <dcterms:modified xsi:type="dcterms:W3CDTF">2013-12-23T23:15:00Z</dcterms:modified>
  <cp:category/>
</cp:coreProperties>
</file>