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EcoGrow Final Delivery Assurance &amp; Cross-Artifact Validation</w:t>
      </w:r>
    </w:p>
    <w:p>
      <w:pPr>
        <w:jc w:val="center"/>
      </w:pPr>
      <w:r>
        <w:t>Corrected Final Pre-Operational Assurance Record</w:t>
      </w:r>
    </w:p>
    <w:p>
      <w:pPr>
        <w:jc w:val="center"/>
      </w:pPr>
      <w:r>
        <w:t>Prepared by: Doris Frank, Business Analyst</w:t>
      </w:r>
    </w:p>
    <w:p>
      <w:pPr>
        <w:pStyle w:val="Heading1"/>
      </w:pPr>
      <w:r>
        <w:t>1. Assurance Scope</w:t>
      </w:r>
    </w:p>
    <w:p>
      <w:r>
        <w:t>I performed a cross-artifact validation of the current EcoGrow delivery materials to confirm that requirements, Jira delivery evidence, validation records, governance documentation, executive reporting, Power BI reporting, and the final Evidence Index present a consistent position.</w:t>
      </w:r>
    </w:p>
    <w:p>
      <w:r>
        <w:t>The review follows these principles: no assumptions or fabricated evidence; Jira workflow status is not treated as product acceptance; story-level validation is distinguished from formal MVP acceptance; release/version assignment is distinguished from release approval; benefits and product-usage actuals are not claimed before operational evidence exists; and the latest reconciled source set takes precedence over superseded working versions.</w:t>
      </w:r>
    </w:p>
    <w:p>
      <w:pPr>
        <w:pStyle w:val="Heading1"/>
      </w:pPr>
      <w:r>
        <w:t>2. Artifacts Reviewed</w:t>
      </w:r>
    </w:p>
    <w:p>
      <w:r>
        <w:t>Requirements and traceability records; Jira delivery and sprint evidence; Business Validation and Product Acceptance records; Governance Pack and RTM; Executive Delivery Summary; Release Readiness and Benefits framework; Power BI Build Specification; EcoGrow Power BI Pre-Operational reporting deliverable; Delivery Evidence Archive; and the corrected EcoGrow Evidence Index.</w:t>
      </w:r>
    </w:p>
    <w:p>
      <w:pPr>
        <w:pStyle w:val="Heading1"/>
      </w:pPr>
      <w:r>
        <w:t>3. Assurance Findings</w:t>
      </w:r>
    </w:p>
    <w:tbl>
      <w:tblPr>
        <w:tblStyle w:val="TableGrid"/>
        <w:tblW w:type="auto" w:w="0"/>
        <w:jc w:val="center"/>
        <w:tblLook w:firstColumn="1" w:firstRow="1" w:lastColumn="0" w:lastRow="0" w:noHBand="0" w:noVBand="1" w:val="04A0"/>
      </w:tblPr>
      <w:tblGrid>
        <w:gridCol w:w="5112"/>
        <w:gridCol w:w="5112"/>
      </w:tblGrid>
      <w:tr>
        <w:tc>
          <w:tcPr>
            <w:tcW w:type="dxa" w:w="5112"/>
          </w:tcPr>
          <w:p>
            <w:r>
              <w:t>Area Reviewed</w:t>
            </w:r>
          </w:p>
        </w:tc>
        <w:tc>
          <w:tcPr>
            <w:tcW w:type="dxa" w:w="5112"/>
          </w:tcPr>
          <w:p>
            <w:r>
              <w:t>Result / Treatment</w:t>
            </w:r>
          </w:p>
        </w:tc>
      </w:tr>
      <w:tr>
        <w:tc>
          <w:tcPr>
            <w:tcW w:type="dxa" w:w="5112"/>
          </w:tcPr>
          <w:p>
            <w:r>
              <w:t>Business objective to requirement traceability</w:t>
            </w:r>
          </w:p>
        </w:tc>
        <w:tc>
          <w:tcPr>
            <w:tcW w:type="dxa" w:w="5112"/>
          </w:tcPr>
          <w:p>
            <w:r>
              <w:t>Pass</w:t>
            </w:r>
          </w:p>
        </w:tc>
      </w:tr>
      <w:tr>
        <w:tc>
          <w:tcPr>
            <w:tcW w:type="dxa" w:w="5112"/>
          </w:tcPr>
          <w:p>
            <w:r>
              <w:t>Requirement to user story traceability</w:t>
            </w:r>
          </w:p>
        </w:tc>
        <w:tc>
          <w:tcPr>
            <w:tcW w:type="dxa" w:w="5112"/>
          </w:tcPr>
          <w:p>
            <w:r>
              <w:t>Pass</w:t>
            </w:r>
          </w:p>
        </w:tc>
      </w:tr>
      <w:tr>
        <w:tc>
          <w:tcPr>
            <w:tcW w:type="dxa" w:w="5112"/>
          </w:tcPr>
          <w:p>
            <w:r>
              <w:t>User story to Jira issue traceability</w:t>
            </w:r>
          </w:p>
        </w:tc>
        <w:tc>
          <w:tcPr>
            <w:tcW w:type="dxa" w:w="5112"/>
          </w:tcPr>
          <w:p>
            <w:r>
              <w:t>Pass, with ECO-12 as the canonical story and evidence-bearing record; ECO-11 is the separate empty duplicate.</w:t>
            </w:r>
          </w:p>
        </w:tc>
      </w:tr>
      <w:tr>
        <w:tc>
          <w:tcPr>
            <w:tcW w:type="dxa" w:w="5112"/>
          </w:tcPr>
          <w:p>
            <w:r>
              <w:t>Story-level acceptance evidence</w:t>
            </w:r>
          </w:p>
        </w:tc>
        <w:tc>
          <w:tcPr>
            <w:tcW w:type="dxa" w:w="5112"/>
          </w:tcPr>
          <w:p>
            <w:r>
              <w:t>Pass where evidenced</w:t>
            </w:r>
          </w:p>
        </w:tc>
      </w:tr>
      <w:tr>
        <w:tc>
          <w:tcPr>
            <w:tcW w:type="dxa" w:w="5112"/>
          </w:tcPr>
          <w:p>
            <w:r>
              <w:t>Prototype evidence treatment</w:t>
            </w:r>
          </w:p>
        </w:tc>
        <w:tc>
          <w:tcPr>
            <w:tcW w:type="dxa" w:w="5112"/>
          </w:tcPr>
          <w:p>
            <w:r>
              <w:t>Pass</w:t>
            </w:r>
          </w:p>
        </w:tc>
      </w:tr>
      <w:tr>
        <w:tc>
          <w:tcPr>
            <w:tcW w:type="dxa" w:w="5112"/>
          </w:tcPr>
          <w:p>
            <w:r>
              <w:t>Stakeholder / Product Owner Persona outcome treatment</w:t>
            </w:r>
          </w:p>
        </w:tc>
        <w:tc>
          <w:tcPr>
            <w:tcW w:type="dxa" w:w="5112"/>
          </w:tcPr>
          <w:p>
            <w:r>
              <w:t>Pass, with AUD-23 boundary retained</w:t>
            </w:r>
          </w:p>
        </w:tc>
      </w:tr>
      <w:tr>
        <w:tc>
          <w:tcPr>
            <w:tcW w:type="dxa" w:w="5112"/>
          </w:tcPr>
          <w:p>
            <w:r>
              <w:t>Evidence Index reconciliation</w:t>
            </w:r>
          </w:p>
        </w:tc>
        <w:tc>
          <w:tcPr>
            <w:tcW w:type="dxa" w:w="5112"/>
          </w:tcPr>
          <w:p>
            <w:r>
              <w:t>Pass, 17 retained files and duplicate exclusions documented</w:t>
            </w:r>
          </w:p>
        </w:tc>
      </w:tr>
      <w:tr>
        <w:tc>
          <w:tcPr>
            <w:tcW w:type="dxa" w:w="5112"/>
          </w:tcPr>
          <w:p>
            <w:r>
              <w:t>Jira workflow versus acceptance distinction</w:t>
            </w:r>
          </w:p>
        </w:tc>
        <w:tc>
          <w:tcPr>
            <w:tcW w:type="dxa" w:w="5112"/>
          </w:tcPr>
          <w:p>
            <w:r>
              <w:t>Pass</w:t>
            </w:r>
          </w:p>
        </w:tc>
      </w:tr>
      <w:tr>
        <w:tc>
          <w:tcPr>
            <w:tcW w:type="dxa" w:w="5112"/>
          </w:tcPr>
          <w:p>
            <w:r>
              <w:t>Power BI evidence treatment</w:t>
            </w:r>
          </w:p>
        </w:tc>
        <w:tc>
          <w:tcPr>
            <w:tcW w:type="dxa" w:w="5112"/>
          </w:tcPr>
          <w:p>
            <w:r>
              <w:t>Pass</w:t>
            </w:r>
          </w:p>
        </w:tc>
      </w:tr>
      <w:tr>
        <w:tc>
          <w:tcPr>
            <w:tcW w:type="dxa" w:w="5112"/>
          </w:tcPr>
          <w:p>
            <w:r>
              <w:t>Benefits reporting treatment</w:t>
            </w:r>
          </w:p>
        </w:tc>
        <w:tc>
          <w:tcPr>
            <w:tcW w:type="dxa" w:w="5112"/>
          </w:tcPr>
          <w:p>
            <w:r>
              <w:t>Pass</w:t>
            </w:r>
          </w:p>
        </w:tc>
      </w:tr>
      <w:tr>
        <w:tc>
          <w:tcPr>
            <w:tcW w:type="dxa" w:w="5112"/>
          </w:tcPr>
          <w:p>
            <w:r>
              <w:t>Release-status governance treatment</w:t>
            </w:r>
          </w:p>
        </w:tc>
        <w:tc>
          <w:tcPr>
            <w:tcW w:type="dxa" w:w="5112"/>
          </w:tcPr>
          <w:p>
            <w:r>
              <w:t>Pass</w:t>
            </w:r>
          </w:p>
        </w:tc>
      </w:tr>
      <w:tr>
        <w:tc>
          <w:tcPr>
            <w:tcW w:type="dxa" w:w="5112"/>
          </w:tcPr>
          <w:p>
            <w:r>
              <w:t>Cross-artifact consistency</w:t>
            </w:r>
          </w:p>
        </w:tc>
        <w:tc>
          <w:tcPr>
            <w:tcW w:type="dxa" w:w="5112"/>
          </w:tcPr>
          <w:p>
            <w:r>
              <w:t>Pass</w:t>
            </w:r>
          </w:p>
        </w:tc>
      </w:tr>
      <w:tr>
        <w:tc>
          <w:tcPr>
            <w:tcW w:type="dxa" w:w="5112"/>
          </w:tcPr>
          <w:p>
            <w:r>
              <w:t>Source/version control</w:t>
            </w:r>
          </w:p>
        </w:tc>
        <w:tc>
          <w:tcPr>
            <w:tcW w:type="dxa" w:w="5112"/>
          </w:tcPr>
          <w:p>
            <w:r>
              <w:t>Pass following reconciliation</w:t>
            </w:r>
          </w:p>
        </w:tc>
      </w:tr>
    </w:tbl>
    <w:p>
      <w:pPr>
        <w:pStyle w:val="Heading1"/>
      </w:pPr>
      <w:r>
        <w:t>4. Evidence Index Reconciliation</w:t>
      </w:r>
    </w:p>
    <w:p>
      <w:r>
        <w:t>The corrected Evidence Index is now treated as the controlled attachment register. The retained evidence inventory is 17 files: 13 PNG files and 4 MP4 files. The original inventory was 19 attachments, with two duplicate videos intentionally excluded. The final index no longer makes local-copy filename mappings authoritative because local downloads can acquire suffixes or other naming changes.</w:t>
      </w:r>
    </w:p>
    <w:p>
      <w:r>
        <w:t>Attachment strings containing GUID-style suffixes, duplicate extensions, or stray spaces are preserved for traceability. They are treated as source-register strings captured during the evidence reconciliation, not as independently re-verified live Jira metadata in this correction pass.</w:t>
      </w:r>
    </w:p>
    <w:p>
      <w:pPr>
        <w:pStyle w:val="Heading1"/>
      </w:pPr>
      <w:r>
        <w:t>5. AUD-23 Reconciliation</w:t>
      </w:r>
    </w:p>
    <w:p>
      <w:r>
        <w:t>AUD-23 remains a documented governance boundary concerning the Product Owner Persona decision confirmation position for ECO-5 / FR-01, ECO-9 / FR-03, and ECO-12 / FR-09. The current evidence archive records that these stories have demonstrated and tested acceptance criteria, while the corresponding DEC confirmation position remains open. DEC-05, DEC-06, and DEC-07 are not to be manufactured for documentation symmetry.</w:t>
      </w:r>
    </w:p>
    <w:p>
      <w:r>
        <w:t>This is a governance traceability item, not a failure of the retained story-level evidence. It remains separate from formal all-persona Sprint Review, final RTM validation, formal MVP/product acceptance, and release approval.</w:t>
      </w:r>
    </w:p>
    <w:p>
      <w:pPr>
        <w:pStyle w:val="Heading1"/>
      </w:pPr>
      <w:r>
        <w:t>6. Current Evidence Position</w:t>
      </w:r>
    </w:p>
    <w:p>
      <w:r>
        <w:t>I confirmed story-level evidence across the reviewed MVP delivery items. Where acceptance-testing and Product Owner Persona review outcomes were evidenced, they were retained as story-level outcomes and were not represented as final MVP product acceptance.</w:t>
      </w:r>
    </w:p>
    <w:p>
      <w:r>
        <w:t>The project evidence does not support a claim that a formal all-persona Sprint Review, final product acceptance, or release approval has occurred.</w:t>
      </w:r>
    </w:p>
    <w:p>
      <w:pPr>
        <w:pStyle w:val="Heading1"/>
      </w:pPr>
      <w:r>
        <w:t>7. Power BI Reporting Validation</w:t>
      </w:r>
    </w:p>
    <w:p>
      <w:r>
        <w:t>The Power BI reporting deliverable remains pre-operational. Success Measures and Benefits Tracking remain framework-level where live operational data is absent. Delivery Reporting uses real Jira-derived information where available. Velocity remains limited because story points are not currently evidenced as estimated. Burndown is not treated as proof that functionality works. Defect reporting is limited to the available Jira bug evidence. Release Status does not imply release approval.</w:t>
      </w:r>
    </w:p>
    <w:p>
      <w:pPr>
        <w:pStyle w:val="Heading1"/>
      </w:pPr>
      <w:r>
        <w:t>8. Outstanding Governance Gates</w:t>
      </w:r>
    </w:p>
    <w:p>
      <w:pPr>
        <w:ind w:left="288"/>
      </w:pPr>
      <w:r>
        <w:t>1. Formal all-persona Sprint Review evidence.</w:t>
      </w:r>
    </w:p>
    <w:p>
      <w:pPr>
        <w:ind w:left="288"/>
      </w:pPr>
      <w:r>
        <w:t>2. FR-08 reporting-layer confirmation.</w:t>
      </w:r>
    </w:p>
    <w:p>
      <w:pPr>
        <w:ind w:left="288"/>
      </w:pPr>
      <w:r>
        <w:t>3. Final RTM validation.</w:t>
      </w:r>
    </w:p>
    <w:p>
      <w:pPr>
        <w:ind w:left="288"/>
      </w:pPr>
      <w:r>
        <w:t>4. Formal MVP/Product acceptance.</w:t>
      </w:r>
    </w:p>
    <w:p>
      <w:pPr>
        <w:ind w:left="288"/>
      </w:pPr>
      <w:r>
        <w:t>5. Final Go/No-Go decision.</w:t>
      </w:r>
    </w:p>
    <w:p>
      <w:pPr>
        <w:ind w:left="288"/>
      </w:pPr>
      <w:r>
        <w:t>6. Operational product-usage and benefits actuals.</w:t>
      </w:r>
    </w:p>
    <w:p>
      <w:r>
        <w:t>These remain open governance gates rather than assurance failures. They must be closed only when genuine evidence exists.</w:t>
      </w:r>
    </w:p>
    <w:p>
      <w:pPr>
        <w:pStyle w:val="Heading1"/>
      </w:pPr>
      <w:r>
        <w:t>9. Stakeholder Boundary</w:t>
      </w:r>
    </w:p>
    <w:p>
      <w:r>
        <w:t>The stakeholder boundary in the Delivery Evidence Archive is a forward-looking governance rule, not a challenge to the current STK-07 and STK-08 entries. It means that future assurance or discovery work must not add or alter stakeholder roles merely because a generic framework suggests that a role could exist. Any change must be supported by the actual Stakeholder Register, Power-Interest Grid, RACI, engagement approach, and project record.</w:t>
      </w:r>
    </w:p>
    <w:p>
      <w:r>
        <w:t>Accordingly, the existing STK-07 Gardener and STK-08 Support treatment is preserved. The boundary simply prevents retrospective stakeholder inflation or invented historical participation.</w:t>
      </w:r>
    </w:p>
    <w:p>
      <w:pPr>
        <w:pStyle w:val="Heading1"/>
      </w:pPr>
      <w:r>
        <w:t>10. Video Review Boundary</w:t>
      </w:r>
    </w:p>
    <w:p>
      <w:r>
        <w:t>I personally reviewed the EcoGrow video evidence used in this evidence reconciliation. I identified duplicate demonstrations that did not add distinct evidential value and reviewed videos that demonstrated the expected input-to-output behaviour.</w:t>
      </w:r>
    </w:p>
    <w:p>
      <w:r>
        <w:t>I classified the two excluded videos as duplicates because the corresponding screenshots already captured the same evidential outcome. The video classifications recorded here are based on my own direct review, not inferred from filenames or descriptions alone.</w:t>
      </w:r>
    </w:p>
    <w:p>
      <w:pPr>
        <w:pStyle w:val="Heading1"/>
      </w:pPr>
      <w:r>
        <w:t>11. Final Assurance Statement</w:t>
      </w:r>
    </w:p>
    <w:p>
      <w:r>
        <w:t>I completed a final cross-artifact assurance review of the EcoGrow delivery evidence, governance treatment, reporting framework, and corrected evidence index. The reconciled source set is materially consistent for portfolio documentation purposes, with evidence limitations and open governance gates explicitly retained.</w:t>
      </w:r>
    </w:p>
    <w:p>
      <w:r>
        <w:t>EcoGrow demonstrates a governed delivery evidence trail and a pre-operational reporting framework. It does not claim formal MVP acceptance, release approval, realised benefits, or live product performance.</w:t>
      </w:r>
    </w:p>
    <w:p>
      <w:pPr>
        <w:pStyle w:val="Heading1"/>
      </w:pPr>
      <w:r>
        <w:t>12. Closure Position</w:t>
      </w:r>
    </w:p>
    <w:p>
      <w:r>
        <w:t>The EcoGrow MVP evidence package is ready for portfolio presentation and controlled handoff into future-state discovery, provided the documented evidence boundaries are retained and future claims do not exceed the validated source record.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EcoGrow | Final Pre-Operational Assurance | Corrected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