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EcoGrow Future-State Portfolio Integration &amp; Final Assurance</w:t>
      </w:r>
    </w:p>
    <w:p>
      <w:pPr>
        <w:jc w:val="center"/>
      </w:pPr>
      <w:r>
        <w:rPr>
          <w:b/>
          <w:sz w:val="24"/>
        </w:rPr>
        <w:t>F01-F06 | Portfolio-Level Closure</w:t>
      </w:r>
    </w:p>
    <w:p>
      <w:pPr>
        <w:jc w:val="center"/>
      </w:pPr>
      <w:r>
        <w:rPr>
          <w:i/>
        </w:rPr>
        <w:t>Prepared by Doris Frank, Business Analyst</w:t>
      </w:r>
    </w:p>
    <w:p>
      <w:pPr>
        <w:spacing w:after="80"/>
      </w:pPr>
      <w:r>
        <w:t>Status: Final portfolio integration of the six future-state epic packages. This document consolidates the independently verified Pass 5 positions without changing the locked MVP, creating Jira commitments, or representing approved delivery scope.</w:t>
      </w:r>
    </w:p>
    <w:p>
      <w:pPr>
        <w:pStyle w:val="Heading1"/>
      </w:pPr>
      <w:r>
        <w:t>1. Portfolio Closure Position</w:t>
      </w:r>
    </w:p>
    <w:p>
      <w:pPr>
        <w:spacing w:after="80"/>
      </w:pPr>
      <w:r>
        <w:t>I have completed the future-state discovery sequence from EPIC-F01 through EPIC-F06. Each epic has passed its own five-stage discovery, translation, cross-artifact QA, and portfolio packaging sequence. The portfolio is therefore complete as a governed discovery body, not as approved product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7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223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95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boundary</w:t>
            </w:r>
          </w:p>
        </w:tc>
        <w:tc>
          <w:tcPr>
            <w:tcW w:type="dxa" w:w="367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Distinct governance signal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Smart Plant Care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Plant-specific care and watering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Content authority for vetted plant-care guidance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Weather-Aware Gardening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Location-aware and weather-aware gardening support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Weather and climate rules, reliability, alert safety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Plant Health and Protection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 symptom capture, classification and protection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Accuracy, safety, specialist expertise, uncertainty and treatment boundaries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Global Plant Intelligence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Global plant knowledge and regional context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Regional scope, localisation, regulatory and operating model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Personalised Garden Experience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Profile, garden context, relevance and history controls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Consent, privacy, data minimisation, transparency and lifecycle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 Scalability and Global Readiness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Wider adoption across technical, operational, geographic and cost dimensions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Scale evidence, upstream maturity, cost model and business case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Cross-Epic Boundary Integrity</w:t>
      </w:r>
    </w:p>
    <w:p>
      <w:pPr>
        <w:spacing w:after="80"/>
      </w:pPr>
      <w:r>
        <w:t>The portfolio uses F01 through F06 as six distinct future-state capabilities. Each package protects its own territory and explicitly routes neighbouring concerns to the owning epic. No epic is treated as a proxy for another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7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43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Owns</w:t>
            </w:r>
          </w:p>
        </w:tc>
        <w:tc>
          <w:tcPr>
            <w:tcW w:type="dxa" w:w="453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Boundary control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Owns plant-specific care and watering content.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F02-F06 remain separate capabilities.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Owns weather-aware context and weather-driven gardening rules.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Does not absorb F01 care ownership or F05 personalisation.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Owns plant-health identification and governed protection.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Does not absorb F01 content, F02 weather, or F05 profiles.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Owns global plant knowledge, regional context and localisation.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F06 does not absorb F04 plant-knowledge or localisation ownership.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Owns personalisation, profile, context and user-control questions.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Does not create automatic decisions or inferred sensitive attributes.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Owns broader platform scale, operations, cost and business-case readiness.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Does not replace F01-F05 functional capabilities.</w:t>
            </w:r>
          </w:p>
        </w:tc>
      </w:tr>
    </w:tbl>
    <w:p>
      <w:pPr>
        <w:spacing w:after="40"/>
      </w:pPr>
    </w:p>
    <w:p>
      <w:pPr>
        <w:pStyle w:val="Heading1"/>
      </w:pPr>
      <w:r>
        <w:t>3. Governance Model Across the Six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7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09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governance theme</w:t>
            </w:r>
          </w:p>
        </w:tc>
        <w:tc>
          <w:tcPr>
            <w:tcW w:type="dxa" w:w="57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Portfolio interpretation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F01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Content authority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Vetted plant-care content requires defined authority and validation.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F02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Weather and climate expertise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Weather reliability, rule ownership and alert safety require separate validation.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F03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Safety and specialist expertise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Higher-risk health guidance requires accuracy, safety, uncertainty and specialist gates.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Regional and regulatory readiness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Global knowledge requires regional validity, localisation and operating-model decisions.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F05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Privacy-aware personalisation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Consent, data minimisation, transparency, control and lifecycle govern progression.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F06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Scale governance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Scale assessment depends on evidence, upstream capability maturity, cost and business case.</w:t>
            </w:r>
          </w:p>
        </w:tc>
      </w:tr>
    </w:tbl>
    <w:p>
      <w:pPr>
        <w:spacing w:after="40"/>
      </w:pPr>
    </w:p>
    <w:p>
      <w:pPr>
        <w:pStyle w:val="Heading1"/>
      </w:pPr>
      <w:r>
        <w:t>4. Progression and Delivery Integrity</w:t>
      </w:r>
    </w:p>
    <w:p>
      <w:pPr>
        <w:pStyle w:val="ListBullet"/>
        <w:spacing w:after="20"/>
        <w:ind w:left="259"/>
      </w:pPr>
      <w:r>
        <w:t>Future requirement IDs remain intentionally controlled. No F02-F06 future FR IDs were assigned through the discovery sequence; existing F01 FR-10, FR-11 and US-08 remain distinct and are not reused.</w:t>
      </w:r>
    </w:p>
    <w:p>
      <w:pPr>
        <w:pStyle w:val="ListBullet"/>
        <w:spacing w:after="20"/>
        <w:ind w:left="259"/>
      </w:pPr>
      <w:r>
        <w:t>Formal acceptance criteria remain deferred where the underlying governance or value decisions are unresolved. Discovery wording is not presented as approved delivery scope.</w:t>
      </w:r>
    </w:p>
    <w:p>
      <w:pPr>
        <w:pStyle w:val="ListBullet"/>
        <w:spacing w:after="20"/>
        <w:ind w:left="259"/>
      </w:pPr>
      <w:r>
        <w:t>Story Points, Bugs, sprint results and production claims are not used to manufacture delivery evidence. Jira creation remains controlled until discovery maturity is reached.</w:t>
      </w:r>
    </w:p>
    <w:p>
      <w:pPr>
        <w:pStyle w:val="ListBullet"/>
        <w:spacing w:after="20"/>
        <w:ind w:left="259"/>
      </w:pPr>
      <w:r>
        <w:t>The locked MVP remains unchanged. The future-state portfolio is a separate discovery layer and does not rewrite FR-01 through FR-09.</w:t>
      </w:r>
    </w:p>
    <w:p>
      <w:pPr>
        <w:pStyle w:val="Heading1"/>
      </w:pPr>
      <w:r>
        <w:t>5. Portfolio QA Learning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72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67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Observed defect</w:t>
            </w:r>
          </w:p>
        </w:tc>
        <w:tc>
          <w:tcPr>
            <w:tcW w:type="dxa" w:w="223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Detection</w:t>
            </w:r>
          </w:p>
        </w:tc>
        <w:tc>
          <w:tcPr>
            <w:tcW w:type="dxa" w:w="2952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Resolution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Feature-name drift in Pass 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Caught in cross-pass review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Corrected before Pass 4 closure.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Nine-gate label did not match ten-row table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Caught in Pass 4 review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Corrected to the ten-gate model.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Four-epic boundary wording undercounted the five siblings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Caught in Pass 3 review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Corrected to five-epic boundary.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Six-epic boundary wording counted F06 itself rather than five siblings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Caught in Pass 3 review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Corrected to five-epic boundary.</w:t>
            </w:r>
          </w:p>
        </w:tc>
      </w:tr>
    </w:tbl>
    <w:p>
      <w:pPr>
        <w:spacing w:after="40"/>
      </w:pPr>
    </w:p>
    <w:p>
      <w:pPr>
        <w:spacing w:after="80"/>
      </w:pPr>
      <w:r>
        <w:t>These corrections are process evidence. They show that cross-artifact QA was capable of identifying terminology, counting and boundary defects before portfolio closure.</w:t>
      </w:r>
    </w:p>
    <w:p>
      <w:pPr>
        <w:pStyle w:val="Heading1"/>
      </w:pPr>
      <w:r>
        <w:t>6. Final Portfolio Decision</w:t>
      </w:r>
    </w:p>
    <w:p>
      <w:pPr>
        <w:spacing w:after="80"/>
      </w:pPr>
      <w:r>
        <w:t>The EcoGrow future-state portfolio is complete through Pass 5 for EPIC-F01 through EPIC-F06. The work is ready to demonstrate as a requirements-engineering and systems-analysis portfolio body. It is not a claim that the future capabilities are built, accepted, production-ready, or commercially approved.</w:t>
      </w:r>
    </w:p>
    <w:p>
      <w:pPr>
        <w:spacing w:after="80"/>
      </w:pPr>
      <w:r>
        <w:t>Any future movement from discovery into delivery should restart from the established progression model: resolve open governance and value questions, confirm Definition of Ready, authorise IDs, create Jira work, plan in a real sprint, build, test, review and obtain formal Product Owner acceptance.</w:t>
      </w:r>
    </w:p>
    <w:p>
      <w:pPr>
        <w:pStyle w:val="Heading1"/>
      </w:pPr>
      <w:r>
        <w:t>7. Evidence Boundary</w:t>
      </w:r>
    </w:p>
    <w:p>
      <w:pPr>
        <w:spacing w:after="80"/>
      </w:pPr>
      <w:r>
        <w:t>This portfolio package demonstrates structured discovery, requirements decomposition, cross-epic boundary management, governance thinking, traceability, QA discipline and controlled progression. It does not establish product acceptance, production readiness, real-world delivery, realised benefits, or final business approval.</w:t>
      </w:r>
    </w:p>
    <w:p>
      <w:pPr>
        <w:jc w:val="center"/>
      </w:pPr>
      <w:r>
        <w:rPr>
          <w:b/>
          <w:sz w:val="18"/>
        </w:rPr>
        <w:t>EcoGrow Future-State Portfolio: F01 • F02 • F03 • F04 • F05 • F06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EcoGrow Future-State Portfolio Integration | Doris Frank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