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EcoGrow Investment &amp; ROI Business Case Engagement</w:t>
      </w:r>
    </w:p>
    <w:p>
      <w:pPr>
        <w:jc w:val="center"/>
      </w:pPr>
      <w:r>
        <w:rPr>
          <w:b/>
        </w:rPr>
        <w:t>Phase 3A | Investment &amp; Value Discovery | Controlled Analysis Framework</w:t>
      </w:r>
    </w:p>
    <w:p>
      <w:pPr>
        <w:jc w:val="center"/>
      </w:pPr>
      <w:r>
        <w:rPr>
          <w:i/>
        </w:rPr>
        <w:t>Prepared by Doris Frank, Business Analyst</w:t>
      </w:r>
    </w:p>
    <w:p>
      <w:pPr>
        <w:pStyle w:val="Heading1"/>
      </w:pPr>
      <w:r>
        <w:t>1. Engagement Control</w:t>
      </w:r>
    </w:p>
    <w:p>
      <w:pPr>
        <w:spacing w:after="100"/>
      </w:pPr>
      <w:r>
        <w:t>I am treating investment and ROI analysis as a new Phase 3 engagement following the completed future-state discovery and Executive Case Study.</w:t>
      </w:r>
    </w:p>
    <w:p>
      <w:pPr>
        <w:spacing w:after="100"/>
      </w:pPr>
      <w:r>
        <w:t>This document does not change the locked MVP, assign future Jira IDs, or represent an approved investment decision.</w:t>
      </w:r>
    </w:p>
    <w:p>
      <w:pPr>
        <w:spacing w:after="100"/>
      </w:pPr>
      <w:r>
        <w:t>The F06 source identifies cost and business case as a discovery candidate. It calls for usage scenarios, cost drivers, investment assumptions and evidence for a scale decision.</w:t>
      </w:r>
    </w:p>
    <w:p>
      <w:pPr>
        <w:spacing w:after="100"/>
      </w:pPr>
      <w:r>
        <w:t>The same source requires that ROI or financial benefit is not asserted without evidence.</w:t>
      </w:r>
    </w:p>
    <w:p>
      <w:pPr>
        <w:pStyle w:val="Heading1"/>
      </w:pPr>
      <w:r>
        <w:t>2. Business Question</w:t>
      </w:r>
    </w:p>
    <w:p>
      <w:pPr>
        <w:spacing w:after="100"/>
      </w:pPr>
      <w:r>
        <w:t>I framed the primary question as: what evidence is required to determine whether a future EcoGrow investment or scale option is economically supportable?</w:t>
      </w:r>
    </w:p>
    <w:p>
      <w:pPr>
        <w:spacing w:after="100"/>
      </w:pPr>
      <w:r>
        <w:t>Supporting questions:</w:t>
      </w:r>
    </w:p>
    <w:p>
      <w:pPr>
        <w:pStyle w:val="ListBullet"/>
        <w:spacing w:after="40"/>
      </w:pPr>
      <w:r>
        <w:t>Which adoption scenarios are credible enough to model?</w:t>
      </w:r>
    </w:p>
    <w:p>
      <w:pPr>
        <w:pStyle w:val="ListBullet"/>
        <w:spacing w:after="40"/>
      </w:pPr>
      <w:r>
        <w:t>Which implementation and operating cost drivers materially change by scenario?</w:t>
      </w:r>
    </w:p>
    <w:p>
      <w:pPr>
        <w:pStyle w:val="ListBullet"/>
        <w:spacing w:after="40"/>
      </w:pPr>
      <w:r>
        <w:t>Which benefits can be measured operationally?</w:t>
      </w:r>
    </w:p>
    <w:p>
      <w:pPr>
        <w:pStyle w:val="ListBullet"/>
        <w:spacing w:after="40"/>
      </w:pPr>
      <w:r>
        <w:t>Which benefits can be translated into financial value with defensible evidence?</w:t>
      </w:r>
    </w:p>
    <w:p>
      <w:pPr>
        <w:pStyle w:val="ListBullet"/>
        <w:spacing w:after="40"/>
      </w:pPr>
      <w:r>
        <w:t>Which assumptions require validation before they enter a decision model?</w:t>
      </w:r>
    </w:p>
    <w:p>
      <w:pPr>
        <w:pStyle w:val="ListBullet"/>
        <w:spacing w:after="40"/>
      </w:pPr>
      <w:r>
        <w:t>What evidence threshold should be met before a scale or investment decision is considered?</w:t>
      </w:r>
    </w:p>
    <w:p>
      <w:pPr>
        <w:pStyle w:val="Heading1"/>
      </w:pPr>
      <w:r>
        <w:t>3. Evidence Baseline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t>Evidence area</w:t>
            </w:r>
          </w:p>
        </w:tc>
        <w:tc>
          <w:tcPr>
            <w:tcW w:type="dxa" w:w="2556"/>
          </w:tcPr>
          <w:p>
            <w:r>
              <w:t>Current source position</w:t>
            </w:r>
          </w:p>
        </w:tc>
        <w:tc>
          <w:tcPr>
            <w:tcW w:type="dxa" w:w="2556"/>
          </w:tcPr>
          <w:p>
            <w:r>
              <w:t>Use in Phase 3</w:t>
            </w:r>
          </w:p>
        </w:tc>
        <w:tc>
          <w:tcPr>
            <w:tcW w:type="dxa" w:w="2556"/>
          </w:tcPr>
          <w:p>
            <w:r>
              <w:t>Status</w:t>
            </w:r>
          </w:p>
        </w:tc>
      </w:tr>
      <w:tr>
        <w:tc>
          <w:tcPr>
            <w:tcW w:type="dxa" w:w="2556"/>
          </w:tcPr>
          <w:p>
            <w:r>
              <w:t>Future-state scale</w:t>
            </w:r>
          </w:p>
        </w:tc>
        <w:tc>
          <w:tcPr>
            <w:tcW w:type="dxa" w:w="2556"/>
          </w:tcPr>
          <w:p>
            <w:r>
              <w:t>F06 covers technical, operational, geographic, content and cost readiness.</w:t>
            </w:r>
          </w:p>
        </w:tc>
        <w:tc>
          <w:tcPr>
            <w:tcW w:type="dxa" w:w="2556"/>
          </w:tcPr>
          <w:p>
            <w:r>
              <w:t>Defines the investment question.</w:t>
            </w:r>
          </w:p>
        </w:tc>
        <w:tc>
          <w:tcPr>
            <w:tcW w:type="dxa" w:w="2556"/>
          </w:tcPr>
          <w:p>
            <w:r>
              <w:t>Source-supported</w:t>
            </w:r>
          </w:p>
        </w:tc>
      </w:tr>
      <w:tr>
        <w:tc>
          <w:tcPr>
            <w:tcW w:type="dxa" w:w="2556"/>
          </w:tcPr>
          <w:p>
            <w:r>
              <w:t>Cost and business case</w:t>
            </w:r>
          </w:p>
        </w:tc>
        <w:tc>
          <w:tcPr>
            <w:tcW w:type="dxa" w:w="2556"/>
          </w:tcPr>
          <w:p>
            <w:r>
              <w:t>F06 identifies cost drivers, usage scenarios, investment assumptions and business-case evidence as open questions.</w:t>
            </w:r>
          </w:p>
        </w:tc>
        <w:tc>
          <w:tcPr>
            <w:tcW w:type="dxa" w:w="2556"/>
          </w:tcPr>
          <w:p>
            <w:r>
              <w:t>Creates the cost and business-case workstream.</w:t>
            </w:r>
          </w:p>
        </w:tc>
        <w:tc>
          <w:tcPr>
            <w:tcW w:type="dxa" w:w="2556"/>
          </w:tcPr>
          <w:p>
            <w:r>
              <w:t>Open</w:t>
            </w:r>
          </w:p>
        </w:tc>
      </w:tr>
      <w:tr>
        <w:tc>
          <w:tcPr>
            <w:tcW w:type="dxa" w:w="2556"/>
          </w:tcPr>
          <w:p>
            <w:r>
              <w:t>BO-01</w:t>
            </w:r>
          </w:p>
        </w:tc>
        <w:tc>
          <w:tcPr>
            <w:tcW w:type="dxa" w:w="2556"/>
          </w:tcPr>
          <w:p>
            <w:r>
              <w:t>Search-to-view completion rate.</w:t>
            </w:r>
          </w:p>
        </w:tc>
        <w:tc>
          <w:tcPr>
            <w:tcW w:type="dxa" w:w="2556"/>
          </w:tcPr>
          <w:p>
            <w:r>
              <w:t>Potential operational benefit measure.</w:t>
            </w:r>
          </w:p>
        </w:tc>
        <w:tc>
          <w:tcPr>
            <w:tcW w:type="dxa" w:w="2556"/>
          </w:tcPr>
          <w:p>
            <w:r>
              <w:t>Actual pending</w:t>
            </w:r>
          </w:p>
        </w:tc>
      </w:tr>
      <w:tr>
        <w:tc>
          <w:tcPr>
            <w:tcW w:type="dxa" w:w="2556"/>
          </w:tcPr>
          <w:p>
            <w:r>
              <w:t>BO-02</w:t>
            </w:r>
          </w:p>
        </w:tc>
        <w:tc>
          <w:tcPr>
            <w:tcW w:type="dxa" w:w="2556"/>
          </w:tcPr>
          <w:p>
            <w:r>
              <w:t>Percentage of posts receiving a response within 48 hours.</w:t>
            </w:r>
          </w:p>
        </w:tc>
        <w:tc>
          <w:tcPr>
            <w:tcW w:type="dxa" w:w="2556"/>
          </w:tcPr>
          <w:p>
            <w:r>
              <w:t>Potential operational benefit measure.</w:t>
            </w:r>
          </w:p>
        </w:tc>
        <w:tc>
          <w:tcPr>
            <w:tcW w:type="dxa" w:w="2556"/>
          </w:tcPr>
          <w:p>
            <w:r>
              <w:t>Actual pending</w:t>
            </w:r>
          </w:p>
        </w:tc>
      </w:tr>
      <w:tr>
        <w:tc>
          <w:tcPr>
            <w:tcW w:type="dxa" w:w="2556"/>
          </w:tcPr>
          <w:p>
            <w:r>
              <w:t>BO-03</w:t>
            </w:r>
          </w:p>
        </w:tc>
        <w:tc>
          <w:tcPr>
            <w:tcW w:type="dxa" w:w="2556"/>
          </w:tcPr>
          <w:p>
            <w:r>
              <w:t>Percentage of logged plantings reaching a logged harvest.</w:t>
            </w:r>
          </w:p>
        </w:tc>
        <w:tc>
          <w:tcPr>
            <w:tcW w:type="dxa" w:w="2556"/>
          </w:tcPr>
          <w:p>
            <w:r>
              <w:t>Potential operational benefit measure.</w:t>
            </w:r>
          </w:p>
        </w:tc>
        <w:tc>
          <w:tcPr>
            <w:tcW w:type="dxa" w:w="2556"/>
          </w:tcPr>
          <w:p>
            <w:r>
              <w:t>Actual pending</w:t>
            </w:r>
          </w:p>
        </w:tc>
      </w:tr>
      <w:tr>
        <w:tc>
          <w:tcPr>
            <w:tcW w:type="dxa" w:w="2556"/>
          </w:tcPr>
          <w:p>
            <w:r>
              <w:t>BO-04</w:t>
            </w:r>
          </w:p>
        </w:tc>
        <w:tc>
          <w:tcPr>
            <w:tcW w:type="dxa" w:w="2556"/>
          </w:tcPr>
          <w:p>
            <w:r>
              <w:t>Usage data completeness and reliability.</w:t>
            </w:r>
          </w:p>
        </w:tc>
        <w:tc>
          <w:tcPr>
            <w:tcW w:type="dxa" w:w="2556"/>
          </w:tcPr>
          <w:p>
            <w:r>
              <w:t>Evidence-quality measure for benefit reporting.</w:t>
            </w:r>
          </w:p>
        </w:tc>
        <w:tc>
          <w:tcPr>
            <w:tcW w:type="dxa" w:w="2556"/>
          </w:tcPr>
          <w:p>
            <w:r>
              <w:t>Assessed from first data capture</w:t>
            </w:r>
          </w:p>
        </w:tc>
      </w:tr>
    </w:tbl>
    <w:p>
      <w:pPr>
        <w:pStyle w:val="Heading1"/>
      </w:pPr>
      <w:r>
        <w:t>4. Investment Case Structure</w:t>
      </w:r>
    </w:p>
    <w:p>
      <w:pPr>
        <w:spacing w:after="100"/>
      </w:pPr>
      <w:r>
        <w:t>I will build the investment case in five controlled layers:</w:t>
      </w:r>
    </w:p>
    <w:p>
      <w:pPr>
        <w:pStyle w:val="ListBullet"/>
        <w:spacing w:after="40"/>
      </w:pPr>
      <w:r>
        <w:t>Adoption scenarios: define credible usage and scale cases without presenting them as forecasts.</w:t>
      </w:r>
    </w:p>
    <w:p>
      <w:pPr>
        <w:pStyle w:val="ListBullet"/>
        <w:spacing w:after="40"/>
      </w:pPr>
      <w:r>
        <w:t>Cost model: identify one-time, recurring, usage-based and support-related cost drivers.</w:t>
      </w:r>
    </w:p>
    <w:p>
      <w:pPr>
        <w:pStyle w:val="ListBullet"/>
        <w:spacing w:after="40"/>
      </w:pPr>
      <w:r>
        <w:t>Benefit model: map operational measures to potential value pathways without converting pending metrics into financial benefits.</w:t>
      </w:r>
    </w:p>
    <w:p>
      <w:pPr>
        <w:pStyle w:val="ListBullet"/>
        <w:spacing w:after="40"/>
      </w:pPr>
      <w:r>
        <w:t>Scenario and sensitivity analysis: test how the decision changes when material assumptions move.</w:t>
      </w:r>
    </w:p>
    <w:p>
      <w:pPr>
        <w:pStyle w:val="ListBullet"/>
        <w:spacing w:after="40"/>
      </w:pPr>
      <w:r>
        <w:t>Decision gate: document the evidence threshold required for progression, deferral or further discovery.</w:t>
      </w:r>
    </w:p>
    <w:p>
      <w:pPr>
        <w:pStyle w:val="Heading1"/>
      </w:pPr>
      <w:r>
        <w:t>5. Cost Model Scope</w:t>
      </w:r>
    </w:p>
    <w:p>
      <w:pPr>
        <w:spacing w:after="100"/>
      </w:pPr>
      <w:r>
        <w:t>I built the initial model around the cost categories F06 identified, infrastructure, API, storage, support, integration, and other operating drivers as evidence becomes available.</w:t>
      </w:r>
    </w:p>
    <w:p>
      <w:pPr>
        <w:spacing w:after="100"/>
      </w:pPr>
      <w:r>
        <w:t>Unknown inputs remain blank. No invented amount is substituted for missing evidence.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</w:tcPr>
          <w:p>
            <w:r>
              <w:t>Cost category</w:t>
            </w:r>
          </w:p>
        </w:tc>
        <w:tc>
          <w:tcPr>
            <w:tcW w:type="dxa" w:w="2045"/>
          </w:tcPr>
          <w:p>
            <w:r>
              <w:t>Driver</w:t>
            </w:r>
          </w:p>
        </w:tc>
        <w:tc>
          <w:tcPr>
            <w:tcW w:type="dxa" w:w="2045"/>
          </w:tcPr>
          <w:p>
            <w:r>
              <w:t>Unit</w:t>
            </w:r>
          </w:p>
        </w:tc>
        <w:tc>
          <w:tcPr>
            <w:tcW w:type="dxa" w:w="2045"/>
          </w:tcPr>
          <w:p>
            <w:r>
              <w:t>Input status</w:t>
            </w:r>
          </w:p>
        </w:tc>
        <w:tc>
          <w:tcPr>
            <w:tcW w:type="dxa" w:w="2045"/>
          </w:tcPr>
          <w:p>
            <w:r>
              <w:t>Evidence needed</w:t>
            </w:r>
          </w:p>
        </w:tc>
      </w:tr>
      <w:tr>
        <w:tc>
          <w:tcPr>
            <w:tcW w:type="dxa" w:w="2045"/>
          </w:tcPr>
          <w:p>
            <w:r>
              <w:t>Infrastructure</w:t>
            </w:r>
          </w:p>
        </w:tc>
        <w:tc>
          <w:tcPr>
            <w:tcW w:type="dxa" w:w="2045"/>
          </w:tcPr>
          <w:p>
            <w:r>
              <w:t>Usage / capacity</w:t>
            </w:r>
          </w:p>
        </w:tc>
        <w:tc>
          <w:tcPr>
            <w:tcW w:type="dxa" w:w="2045"/>
          </w:tcPr>
          <w:p>
            <w:r>
              <w:t>To be defined</w:t>
            </w:r>
          </w:p>
        </w:tc>
        <w:tc>
          <w:tcPr>
            <w:tcW w:type="dxa" w:w="2045"/>
          </w:tcPr>
          <w:p>
            <w:r>
              <w:t>Open</w:t>
            </w:r>
          </w:p>
        </w:tc>
        <w:tc>
          <w:tcPr>
            <w:tcW w:type="dxa" w:w="2045"/>
          </w:tcPr>
          <w:p>
            <w:r>
              <w:t>Validated capacity and pricing inputs</w:t>
            </w:r>
          </w:p>
        </w:tc>
      </w:tr>
      <w:tr>
        <w:tc>
          <w:tcPr>
            <w:tcW w:type="dxa" w:w="2045"/>
          </w:tcPr>
          <w:p>
            <w:r>
              <w:t>External APIs</w:t>
            </w:r>
          </w:p>
        </w:tc>
        <w:tc>
          <w:tcPr>
            <w:tcW w:type="dxa" w:w="2045"/>
          </w:tcPr>
          <w:p>
            <w:r>
              <w:t>Calls / service tier</w:t>
            </w:r>
          </w:p>
        </w:tc>
        <w:tc>
          <w:tcPr>
            <w:tcW w:type="dxa" w:w="2045"/>
          </w:tcPr>
          <w:p>
            <w:r>
              <w:t>To be defined</w:t>
            </w:r>
          </w:p>
        </w:tc>
        <w:tc>
          <w:tcPr>
            <w:tcW w:type="dxa" w:w="2045"/>
          </w:tcPr>
          <w:p>
            <w:r>
              <w:t>Open</w:t>
            </w:r>
          </w:p>
        </w:tc>
        <w:tc>
          <w:tcPr>
            <w:tcW w:type="dxa" w:w="2045"/>
          </w:tcPr>
          <w:p>
            <w:r>
              <w:t>Provider pricing and expected usage</w:t>
            </w:r>
          </w:p>
        </w:tc>
      </w:tr>
      <w:tr>
        <w:tc>
          <w:tcPr>
            <w:tcW w:type="dxa" w:w="2045"/>
          </w:tcPr>
          <w:p>
            <w:r>
              <w:t>Storage</w:t>
            </w:r>
          </w:p>
        </w:tc>
        <w:tc>
          <w:tcPr>
            <w:tcW w:type="dxa" w:w="2045"/>
          </w:tcPr>
          <w:p>
            <w:r>
              <w:t>Data volume / retention</w:t>
            </w:r>
          </w:p>
        </w:tc>
        <w:tc>
          <w:tcPr>
            <w:tcW w:type="dxa" w:w="2045"/>
          </w:tcPr>
          <w:p>
            <w:r>
              <w:t>To be defined</w:t>
            </w:r>
          </w:p>
        </w:tc>
        <w:tc>
          <w:tcPr>
            <w:tcW w:type="dxa" w:w="2045"/>
          </w:tcPr>
          <w:p>
            <w:r>
              <w:t>Open</w:t>
            </w:r>
          </w:p>
        </w:tc>
        <w:tc>
          <w:tcPr>
            <w:tcW w:type="dxa" w:w="2045"/>
          </w:tcPr>
          <w:p>
            <w:r>
              <w:t>Volume and retention assumptions</w:t>
            </w:r>
          </w:p>
        </w:tc>
      </w:tr>
      <w:tr>
        <w:tc>
          <w:tcPr>
            <w:tcW w:type="dxa" w:w="2045"/>
          </w:tcPr>
          <w:p>
            <w:r>
              <w:t>Support / operations</w:t>
            </w:r>
          </w:p>
        </w:tc>
        <w:tc>
          <w:tcPr>
            <w:tcW w:type="dxa" w:w="2045"/>
          </w:tcPr>
          <w:p>
            <w:r>
              <w:t>Support load / service model</w:t>
            </w:r>
          </w:p>
        </w:tc>
        <w:tc>
          <w:tcPr>
            <w:tcW w:type="dxa" w:w="2045"/>
          </w:tcPr>
          <w:p>
            <w:r>
              <w:t>To be defined</w:t>
            </w:r>
          </w:p>
        </w:tc>
        <w:tc>
          <w:tcPr>
            <w:tcW w:type="dxa" w:w="2045"/>
          </w:tcPr>
          <w:p>
            <w:r>
              <w:t>Open</w:t>
            </w:r>
          </w:p>
        </w:tc>
        <w:tc>
          <w:tcPr>
            <w:tcW w:type="dxa" w:w="2045"/>
          </w:tcPr>
          <w:p>
            <w:r>
              <w:t>Operating model and support effort</w:t>
            </w:r>
          </w:p>
        </w:tc>
      </w:tr>
      <w:tr>
        <w:tc>
          <w:tcPr>
            <w:tcW w:type="dxa" w:w="2045"/>
          </w:tcPr>
          <w:p>
            <w:r>
              <w:t>Integration</w:t>
            </w:r>
          </w:p>
        </w:tc>
        <w:tc>
          <w:tcPr>
            <w:tcW w:type="dxa" w:w="2045"/>
          </w:tcPr>
          <w:p>
            <w:r>
              <w:t>Integration scope / dependency</w:t>
            </w:r>
          </w:p>
        </w:tc>
        <w:tc>
          <w:tcPr>
            <w:tcW w:type="dxa" w:w="2045"/>
          </w:tcPr>
          <w:p>
            <w:r>
              <w:t>To be defined</w:t>
            </w:r>
          </w:p>
        </w:tc>
        <w:tc>
          <w:tcPr>
            <w:tcW w:type="dxa" w:w="2045"/>
          </w:tcPr>
          <w:p>
            <w:r>
              <w:t>Open</w:t>
            </w:r>
          </w:p>
        </w:tc>
        <w:tc>
          <w:tcPr>
            <w:tcW w:type="dxa" w:w="2045"/>
          </w:tcPr>
          <w:p>
            <w:r>
              <w:t>Architecture and dependency evidence</w:t>
            </w:r>
          </w:p>
        </w:tc>
      </w:tr>
    </w:tbl>
    <w:p>
      <w:pPr>
        <w:pStyle w:val="Heading1"/>
      </w:pPr>
      <w:r>
        <w:t>6. Benefit Model Boundary</w:t>
      </w:r>
    </w:p>
    <w:p>
      <w:pPr>
        <w:spacing w:after="100"/>
      </w:pPr>
      <w:r>
        <w:t>I will not assign financial values to BO-01 through BO-04 from the current evidence.</w:t>
      </w:r>
    </w:p>
    <w:p>
      <w:pPr>
        <w:spacing w:after="100"/>
      </w:pPr>
      <w:r>
        <w:t>The existing Benefits Register and Benefits Framework identify measures, owners, review points and data sources. Actual values remain pending operational data.</w:t>
      </w:r>
    </w:p>
    <w:p>
      <w:pPr>
        <w:spacing w:after="100"/>
      </w:pPr>
      <w:r>
        <w:t>The model therefore establishes a traceable path from measure to evidence to potential value.</w:t>
      </w:r>
    </w:p>
    <w:p>
      <w:pPr>
        <w:spacing w:after="100"/>
      </w:pPr>
      <w:r>
        <w:t>A financial value can enter the model only when its assumption and evidence source are documented.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</w:tcPr>
          <w:p>
            <w:r>
              <w:t>Benefit</w:t>
            </w:r>
          </w:p>
        </w:tc>
        <w:tc>
          <w:tcPr>
            <w:tcW w:type="dxa" w:w="2045"/>
          </w:tcPr>
          <w:p>
            <w:r>
              <w:t>Measure</w:t>
            </w:r>
          </w:p>
        </w:tc>
        <w:tc>
          <w:tcPr>
            <w:tcW w:type="dxa" w:w="2045"/>
          </w:tcPr>
          <w:p>
            <w:r>
              <w:t>Current evidence</w:t>
            </w:r>
          </w:p>
        </w:tc>
        <w:tc>
          <w:tcPr>
            <w:tcW w:type="dxa" w:w="2045"/>
          </w:tcPr>
          <w:p>
            <w:r>
              <w:t>Potential value pathway</w:t>
            </w:r>
          </w:p>
        </w:tc>
        <w:tc>
          <w:tcPr>
            <w:tcW w:type="dxa" w:w="2045"/>
          </w:tcPr>
          <w:p>
            <w:r>
              <w:t>Financial value</w:t>
            </w:r>
          </w:p>
        </w:tc>
      </w:tr>
      <w:tr>
        <w:tc>
          <w:tcPr>
            <w:tcW w:type="dxa" w:w="2045"/>
          </w:tcPr>
          <w:p>
            <w:r>
              <w:t>BO-01</w:t>
            </w:r>
          </w:p>
        </w:tc>
        <w:tc>
          <w:tcPr>
            <w:tcW w:type="dxa" w:w="2045"/>
          </w:tcPr>
          <w:p>
            <w:r>
              <w:t>Search-to-view completion rate</w:t>
            </w:r>
          </w:p>
        </w:tc>
        <w:tc>
          <w:tcPr>
            <w:tcW w:type="dxa" w:w="2045"/>
          </w:tcPr>
          <w:p>
            <w:r>
              <w:t>Operational actual pending</w:t>
            </w:r>
          </w:p>
        </w:tc>
        <w:tc>
          <w:tcPr>
            <w:tcW w:type="dxa" w:w="2045"/>
          </w:tcPr>
          <w:p>
            <w:r>
              <w:t>Information discovery / engagement</w:t>
            </w:r>
          </w:p>
        </w:tc>
        <w:tc>
          <w:tcPr>
            <w:tcW w:type="dxa" w:w="2045"/>
          </w:tcPr>
          <w:p>
            <w:r>
              <w:t>Not established</w:t>
            </w:r>
          </w:p>
        </w:tc>
      </w:tr>
      <w:tr>
        <w:tc>
          <w:tcPr>
            <w:tcW w:type="dxa" w:w="2045"/>
          </w:tcPr>
          <w:p>
            <w:r>
              <w:t>BO-02</w:t>
            </w:r>
          </w:p>
        </w:tc>
        <w:tc>
          <w:tcPr>
            <w:tcW w:type="dxa" w:w="2045"/>
          </w:tcPr>
          <w:p>
            <w:r>
              <w:t>Response within 48 hours</w:t>
            </w:r>
          </w:p>
        </w:tc>
        <w:tc>
          <w:tcPr>
            <w:tcW w:type="dxa" w:w="2045"/>
          </w:tcPr>
          <w:p>
            <w:r>
              <w:t>Operational actual pending</w:t>
            </w:r>
          </w:p>
        </w:tc>
        <w:tc>
          <w:tcPr>
            <w:tcW w:type="dxa" w:w="2045"/>
          </w:tcPr>
          <w:p>
            <w:r>
              <w:t>Community responsiveness / engagement</w:t>
            </w:r>
          </w:p>
        </w:tc>
        <w:tc>
          <w:tcPr>
            <w:tcW w:type="dxa" w:w="2045"/>
          </w:tcPr>
          <w:p>
            <w:r>
              <w:t>Not established</w:t>
            </w:r>
          </w:p>
        </w:tc>
      </w:tr>
      <w:tr>
        <w:tc>
          <w:tcPr>
            <w:tcW w:type="dxa" w:w="2045"/>
          </w:tcPr>
          <w:p>
            <w:r>
              <w:t>BO-03</w:t>
            </w:r>
          </w:p>
        </w:tc>
        <w:tc>
          <w:tcPr>
            <w:tcW w:type="dxa" w:w="2045"/>
          </w:tcPr>
          <w:p>
            <w:r>
              <w:t>Plantings reaching harvest</w:t>
            </w:r>
          </w:p>
        </w:tc>
        <w:tc>
          <w:tcPr>
            <w:tcW w:type="dxa" w:w="2045"/>
          </w:tcPr>
          <w:p>
            <w:r>
              <w:t>Operational actual pending</w:t>
            </w:r>
          </w:p>
        </w:tc>
        <w:tc>
          <w:tcPr>
            <w:tcW w:type="dxa" w:w="2045"/>
          </w:tcPr>
          <w:p>
            <w:r>
              <w:t>Gardening journey completion / retention</w:t>
            </w:r>
          </w:p>
        </w:tc>
        <w:tc>
          <w:tcPr>
            <w:tcW w:type="dxa" w:w="2045"/>
          </w:tcPr>
          <w:p>
            <w:r>
              <w:t>Not established</w:t>
            </w:r>
          </w:p>
        </w:tc>
      </w:tr>
      <w:tr>
        <w:tc>
          <w:tcPr>
            <w:tcW w:type="dxa" w:w="2045"/>
          </w:tcPr>
          <w:p>
            <w:r>
              <w:t>BO-04</w:t>
            </w:r>
          </w:p>
        </w:tc>
        <w:tc>
          <w:tcPr>
            <w:tcW w:type="dxa" w:w="2045"/>
          </w:tcPr>
          <w:p>
            <w:r>
              <w:t>Usage data completeness and reliability</w:t>
            </w:r>
          </w:p>
        </w:tc>
        <w:tc>
          <w:tcPr>
            <w:tcW w:type="dxa" w:w="2045"/>
          </w:tcPr>
          <w:p>
            <w:r>
              <w:t>Assessed from first data capture</w:t>
            </w:r>
          </w:p>
        </w:tc>
        <w:tc>
          <w:tcPr>
            <w:tcW w:type="dxa" w:w="2045"/>
          </w:tcPr>
          <w:p>
            <w:r>
              <w:t>Measurement reliability</w:t>
            </w:r>
          </w:p>
        </w:tc>
        <w:tc>
          <w:tcPr>
            <w:tcW w:type="dxa" w:w="2045"/>
          </w:tcPr>
          <w:p>
            <w:r>
              <w:t>Not established</w:t>
            </w:r>
          </w:p>
        </w:tc>
      </w:tr>
    </w:tbl>
    <w:p>
      <w:pPr>
        <w:pStyle w:val="Heading1"/>
      </w:pPr>
      <w:r>
        <w:t>7. Business Objective, Benefit, and ROI Assumption Trace</w:t>
      </w:r>
    </w:p>
    <w:p>
      <w:pPr>
        <w:spacing w:after="100"/>
      </w:pPr>
      <w:r>
        <w:t xml:space="preserve">I connect the ROI model to the same BO-01 through BO-04 benefit framework already established for the MVP, rather than treating investment analysis as a separate financial exercise.</w:t>
      </w:r>
    </w:p>
    <w:p>
      <w:pPr>
        <w:spacing w:after="100"/>
      </w:pPr>
      <w:r>
        <w:t xml:space="preserve">Each row below traces from a business objective through its existing measure and evidence source to the specific assumption in the ROI model that would eventually convert it into financial value.</w:t>
      </w:r>
    </w:p>
    <w:tbl>
      <w:tblPr>
        <w:tblStyle w:val="TableGrid"/>
        <w:tblW w:type="auto" w:w="0"/>
      </w:tblPr>
      <w:tblGrid>
        <w:gridCol w:w="1400"/>
        <w:gridCol w:w="2200"/>
        <w:gridCol w:w="2400"/>
        <w:gridCol w:w="2000"/>
        <w:gridCol w:w="2400"/>
      </w:tblGrid>
      <w:tr>
        <w:tc>
          <w:tcPr>
            <w:tcW w:type="dxa" w:w="1400"/>
          </w:tcPr>
          <w:p>
            <w:r>
              <w:t xml:space="preserve">Business Objective</w:t>
            </w:r>
          </w:p>
        </w:tc>
        <w:tc>
          <w:tcPr>
            <w:tcW w:type="dxa" w:w="2200"/>
          </w:tcPr>
          <w:p>
            <w:r>
              <w:t xml:space="preserve">Benefit / Measure</w:t>
            </w:r>
          </w:p>
        </w:tc>
        <w:tc>
          <w:tcPr>
            <w:tcW w:type="dxa" w:w="2400"/>
          </w:tcPr>
          <w:p>
            <w:r>
              <w:t xml:space="preserve">Measurement Logic</w:t>
            </w:r>
          </w:p>
        </w:tc>
        <w:tc>
          <w:tcPr>
            <w:tcW w:type="dxa" w:w="2000"/>
          </w:tcPr>
          <w:p>
            <w:r>
              <w:t xml:space="preserve">Evidence Source</w:t>
            </w:r>
          </w:p>
        </w:tc>
        <w:tc>
          <w:tcPr>
            <w:tcW w:type="dxa" w:w="2400"/>
          </w:tcPr>
          <w:p>
            <w:r>
              <w:t xml:space="preserve">Connected ROI Assumption</w:t>
            </w:r>
          </w:p>
        </w:tc>
      </w:tr>
      <w:tr>
        <w:tc>
          <w:tcPr>
            <w:tcW w:type="dxa" w:w="1600"/>
          </w:tcPr>
          <w:p>
            <w:r>
              <w:t xml:space="preserve">BO-01</w:t>
            </w:r>
          </w:p>
        </w:tc>
        <w:tc>
          <w:tcPr>
            <w:tcW w:type="dxa" w:w="1600"/>
          </w:tcPr>
          <w:p>
            <w:r>
              <w:t xml:space="preserve">Search-to-view completion rate</w:t>
            </w:r>
          </w:p>
        </w:tc>
        <w:tc>
          <w:tcPr>
            <w:tcW w:type="dxa" w:w="1600"/>
          </w:tcPr>
          <w:p>
            <w:r>
              <w:t xml:space="preserve">Searches resulting in a viewed entry / total Plant Library searches</w:t>
            </w:r>
          </w:p>
        </w:tc>
        <w:tc>
          <w:tcPr>
            <w:tcW w:type="dxa" w:w="1600"/>
          </w:tcPr>
          <w:p>
            <w:r>
              <w:t xml:space="preserve">Plant Library usage events</w:t>
            </w:r>
          </w:p>
        </w:tc>
        <w:tc>
          <w:tcPr>
            <w:tcW w:type="dxa" w:w="1600"/>
          </w:tcPr>
          <w:p>
            <w:r>
              <w:t xml:space="preserve">A-02 Adoption volume; A-07 Benefit monetisation basis</w:t>
            </w:r>
          </w:p>
        </w:tc>
      </w:tr>
      <w:tr>
        <w:tc>
          <w:tcPr>
            <w:tcW w:type="dxa" w:w="1600"/>
          </w:tcPr>
          <w:p>
            <w:r>
              <w:t xml:space="preserve">BO-02</w:t>
            </w:r>
          </w:p>
        </w:tc>
        <w:tc>
          <w:tcPr>
            <w:tcW w:type="dxa" w:w="1600"/>
          </w:tcPr>
          <w:p>
            <w:r>
              <w:t xml:space="preserve">Percentage of posts responded within 48 hours</w:t>
            </w:r>
          </w:p>
        </w:tc>
        <w:tc>
          <w:tcPr>
            <w:tcW w:type="dxa" w:w="1600"/>
          </w:tcPr>
          <w:p>
            <w:r>
              <w:t xml:space="preserve">Posts with a response within 48 hours / total posts</w:t>
            </w:r>
          </w:p>
        </w:tc>
        <w:tc>
          <w:tcPr>
            <w:tcW w:type="dxa" w:w="1600"/>
          </w:tcPr>
          <w:p>
            <w:r>
              <w:t xml:space="preserve">Forum response events, a Phase 2 capability</w:t>
            </w:r>
          </w:p>
        </w:tc>
        <w:tc>
          <w:tcPr>
            <w:tcW w:type="dxa" w:w="1600"/>
          </w:tcPr>
          <w:p>
            <w:r>
              <w:t xml:space="preserve">Not yet connected, response is deferred and outside Phase 3A scope</w:t>
            </w:r>
          </w:p>
        </w:tc>
      </w:tr>
      <w:tr>
        <w:tc>
          <w:tcPr>
            <w:tcW w:type="dxa" w:w="1600"/>
          </w:tcPr>
          <w:p>
            <w:r>
              <w:t xml:space="preserve">BO-03</w:t>
            </w:r>
          </w:p>
        </w:tc>
        <w:tc>
          <w:tcPr>
            <w:tcW w:type="dxa" w:w="1600"/>
          </w:tcPr>
          <w:p>
            <w:r>
              <w:t xml:space="preserve">Percentage of logged plantings reaching a logged harvest</w:t>
            </w:r>
          </w:p>
        </w:tc>
        <w:tc>
          <w:tcPr>
            <w:tcW w:type="dxa" w:w="1600"/>
          </w:tcPr>
          <w:p>
            <w:r>
              <w:t xml:space="preserve">Plantings with a matched harvest entry / total plantings</w:t>
            </w:r>
          </w:p>
        </w:tc>
        <w:tc>
          <w:tcPr>
            <w:tcW w:type="dxa" w:w="1600"/>
          </w:tcPr>
          <w:p>
            <w:r>
              <w:t xml:space="preserve">Harvest Tracker events</w:t>
            </w:r>
          </w:p>
        </w:tc>
        <w:tc>
          <w:tcPr>
            <w:tcW w:type="dxa" w:w="1600"/>
          </w:tcPr>
          <w:p>
            <w:r>
              <w:t xml:space="preserve">A-02 Adoption volume; A-07 Benefit monetisation basis</w:t>
            </w:r>
          </w:p>
        </w:tc>
      </w:tr>
      <w:tr>
        <w:tc>
          <w:tcPr>
            <w:tcW w:type="dxa" w:w="1600"/>
          </w:tcPr>
          <w:p>
            <w:r>
              <w:t xml:space="preserve">BO-04</w:t>
            </w:r>
          </w:p>
        </w:tc>
        <w:tc>
          <w:tcPr>
            <w:tcW w:type="dxa" w:w="1600"/>
          </w:tcPr>
          <w:p>
            <w:r>
              <w:t xml:space="preserve">Usage data completeness and reliability</w:t>
            </w:r>
          </w:p>
        </w:tc>
        <w:tc>
          <w:tcPr>
            <w:tcW w:type="dxa" w:w="1600"/>
          </w:tcPr>
          <w:p>
            <w:r>
              <w:t xml:space="preserve">Usage events captured / total user actions expected to generate one</w:t>
            </w:r>
          </w:p>
        </w:tc>
        <w:tc>
          <w:tcPr>
            <w:tcW w:type="dxa" w:w="1600"/>
          </w:tcPr>
          <w:p>
            <w:r>
              <w:t xml:space="preserve">FR-08 usage events</w:t>
            </w:r>
          </w:p>
        </w:tc>
        <w:tc>
          <w:tcPr>
            <w:tcW w:type="dxa" w:w="1600"/>
          </w:tcPr>
          <w:p>
            <w:r>
              <w:t xml:space="preserve">A-02 Adoption volume; A-07 Benefit monetisation basis</w:t>
            </w:r>
          </w:p>
        </w:tc>
      </w:tr>
    </w:tbl>
    <w:p>
      <w:pPr>
        <w:spacing w:after="100"/>
      </w:pPr>
      <w:r>
        <w:t xml:space="preserve">BO-02 has no connected ROI assumption because Community Forum response remains a deferred Phase 2 capability and is out of scope for the current cost and benefit model.</w:t>
      </w:r>
    </w:p>
    <w:p>
      <w:pPr>
        <w:spacing w:after="100"/>
      </w:pPr>
      <w:r>
        <w:t xml:space="preserve">This trace does not create new evidence. It states where the ROI model already depends on the MVP benefit framework, and where a benefit currently has no route into the financial model at all.</w:t>
      </w:r>
    </w:p>
    <w:p>
      <w:pPr>
        <w:pStyle w:val="Heading1"/>
      </w:pPr>
      <w:r>
        <w:t>8. Scenario Model</w:t>
      </w:r>
    </w:p>
    <w:p>
      <w:pPr>
        <w:spacing w:after="100"/>
      </w:pPr>
      <w:r>
        <w:t>I will use scenario labels for analysis rather than presenting a preferred outcome.</w:t>
      </w:r>
    </w:p>
    <w:p>
      <w:pPr>
        <w:spacing w:after="100"/>
      </w:pPr>
      <w:r>
        <w:t>The first model contains a baseline, a constrained adoption case and a higher adoption case.</w:t>
      </w:r>
    </w:p>
    <w:p>
      <w:pPr>
        <w:spacing w:after="100"/>
      </w:pPr>
      <w:r>
        <w:t>These are modelling structures only until actual assumptions are supplied.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Scenario</w:t>
            </w:r>
          </w:p>
        </w:tc>
        <w:tc>
          <w:tcPr>
            <w:tcW w:type="dxa" w:w="1704"/>
          </w:tcPr>
          <w:p>
            <w:r>
              <w:t>Adoption input</w:t>
            </w:r>
          </w:p>
        </w:tc>
        <w:tc>
          <w:tcPr>
            <w:tcW w:type="dxa" w:w="1704"/>
          </w:tcPr>
          <w:p>
            <w:r>
              <w:t>Cost input</w:t>
            </w:r>
          </w:p>
        </w:tc>
        <w:tc>
          <w:tcPr>
            <w:tcW w:type="dxa" w:w="1704"/>
          </w:tcPr>
          <w:p>
            <w:r>
              <w:t>Benefit input</w:t>
            </w:r>
          </w:p>
        </w:tc>
        <w:tc>
          <w:tcPr>
            <w:tcW w:type="dxa" w:w="1704"/>
          </w:tcPr>
          <w:p>
            <w:r>
              <w:t>Evidence status</w:t>
            </w:r>
          </w:p>
        </w:tc>
        <w:tc>
          <w:tcPr>
            <w:tcW w:type="dxa" w:w="1704"/>
          </w:tcPr>
          <w:p>
            <w:r>
              <w:t>Decision use</w:t>
            </w:r>
          </w:p>
        </w:tc>
      </w:tr>
      <w:tr>
        <w:tc>
          <w:tcPr>
            <w:tcW w:type="dxa" w:w="1704"/>
          </w:tcPr>
          <w:p>
            <w:r>
              <w:t>Baseline</w:t>
            </w:r>
          </w:p>
        </w:tc>
        <w:tc>
          <w:tcPr>
            <w:tcW w:type="dxa" w:w="1704"/>
          </w:tcPr>
          <w:p>
            <w:r>
              <w:t>Input required</w:t>
            </w:r>
          </w:p>
        </w:tc>
        <w:tc>
          <w:tcPr>
            <w:tcW w:type="dxa" w:w="1704"/>
          </w:tcPr>
          <w:p>
            <w:r>
              <w:t>Input required</w:t>
            </w:r>
          </w:p>
        </w:tc>
        <w:tc>
          <w:tcPr>
            <w:tcW w:type="dxa" w:w="1704"/>
          </w:tcPr>
          <w:p>
            <w:r>
              <w:t>Input required</w:t>
            </w:r>
          </w:p>
        </w:tc>
        <w:tc>
          <w:tcPr>
            <w:tcW w:type="dxa" w:w="1704"/>
          </w:tcPr>
          <w:p>
            <w:r>
              <w:t>Not populated</w:t>
            </w:r>
          </w:p>
        </w:tc>
        <w:tc>
          <w:tcPr>
            <w:tcW w:type="dxa" w:w="1704"/>
          </w:tcPr>
          <w:p>
            <w:r>
              <w:t>Reference case</w:t>
            </w:r>
          </w:p>
        </w:tc>
      </w:tr>
      <w:tr>
        <w:tc>
          <w:tcPr>
            <w:tcW w:type="dxa" w:w="1704"/>
          </w:tcPr>
          <w:p>
            <w:r>
              <w:t>Constrained adoption</w:t>
            </w:r>
          </w:p>
        </w:tc>
        <w:tc>
          <w:tcPr>
            <w:tcW w:type="dxa" w:w="1704"/>
          </w:tcPr>
          <w:p>
            <w:r>
              <w:t>Input required</w:t>
            </w:r>
          </w:p>
        </w:tc>
        <w:tc>
          <w:tcPr>
            <w:tcW w:type="dxa" w:w="1704"/>
          </w:tcPr>
          <w:p>
            <w:r>
              <w:t>Input required</w:t>
            </w:r>
          </w:p>
        </w:tc>
        <w:tc>
          <w:tcPr>
            <w:tcW w:type="dxa" w:w="1704"/>
          </w:tcPr>
          <w:p>
            <w:r>
              <w:t>Input required</w:t>
            </w:r>
          </w:p>
        </w:tc>
        <w:tc>
          <w:tcPr>
            <w:tcW w:type="dxa" w:w="1704"/>
          </w:tcPr>
          <w:p>
            <w:r>
              <w:t>Not populated</w:t>
            </w:r>
          </w:p>
        </w:tc>
        <w:tc>
          <w:tcPr>
            <w:tcW w:type="dxa" w:w="1704"/>
          </w:tcPr>
          <w:p>
            <w:r>
              <w:t>Constraint analysis</w:t>
            </w:r>
          </w:p>
        </w:tc>
      </w:tr>
      <w:tr>
        <w:tc>
          <w:tcPr>
            <w:tcW w:type="dxa" w:w="1704"/>
          </w:tcPr>
          <w:p>
            <w:r>
              <w:t>Higher adoption</w:t>
            </w:r>
          </w:p>
        </w:tc>
        <w:tc>
          <w:tcPr>
            <w:tcW w:type="dxa" w:w="1704"/>
          </w:tcPr>
          <w:p>
            <w:r>
              <w:t>Input required</w:t>
            </w:r>
          </w:p>
        </w:tc>
        <w:tc>
          <w:tcPr>
            <w:tcW w:type="dxa" w:w="1704"/>
          </w:tcPr>
          <w:p>
            <w:r>
              <w:t>Input required</w:t>
            </w:r>
          </w:p>
        </w:tc>
        <w:tc>
          <w:tcPr>
            <w:tcW w:type="dxa" w:w="1704"/>
          </w:tcPr>
          <w:p>
            <w:r>
              <w:t>Input required</w:t>
            </w:r>
          </w:p>
        </w:tc>
        <w:tc>
          <w:tcPr>
            <w:tcW w:type="dxa" w:w="1704"/>
          </w:tcPr>
          <w:p>
            <w:r>
              <w:t>Not populated</w:t>
            </w:r>
          </w:p>
        </w:tc>
        <w:tc>
          <w:tcPr>
            <w:tcW w:type="dxa" w:w="1704"/>
          </w:tcPr>
          <w:p>
            <w:r>
              <w:t>Scale sensitivity analysis</w:t>
            </w:r>
          </w:p>
        </w:tc>
      </w:tr>
    </w:tbl>
    <w:p>
      <w:pPr>
        <w:pStyle w:val="Heading1"/>
      </w:pPr>
      <w:r>
        <w:t>9. ROI Methodology</w:t>
      </w:r>
    </w:p>
    <w:p>
      <w:pPr>
        <w:spacing w:after="100"/>
      </w:pPr>
      <w:r>
        <w:t>I built the accompanying workbook with formula-ready fields for investment, recurring cost, quantified benefit, and scenario analysis.</w:t>
      </w:r>
    </w:p>
    <w:p>
      <w:pPr>
        <w:spacing w:after="100"/>
      </w:pPr>
      <w:r>
        <w:t>I set every formula to calculate ROI only once valid inputs are supplied.</w:t>
      </w:r>
    </w:p>
    <w:p>
      <w:pPr>
        <w:pStyle w:val="ListBullet"/>
        <w:spacing w:after="40"/>
      </w:pPr>
      <w:r>
        <w:t>Total investment = one-time investment costs plus applicable implementation costs.</w:t>
      </w:r>
    </w:p>
    <w:p>
      <w:pPr>
        <w:pStyle w:val="ListBullet"/>
        <w:spacing w:after="40"/>
      </w:pPr>
      <w:r>
        <w:t>Total cost over the selected analysis period = investment costs plus recurring and usage-based costs.</w:t>
      </w:r>
    </w:p>
    <w:p>
      <w:pPr>
        <w:pStyle w:val="ListBullet"/>
        <w:spacing w:after="40"/>
      </w:pPr>
      <w:r>
        <w:t>Net benefit = quantified benefits minus relevant costs.</w:t>
      </w:r>
    </w:p>
    <w:p>
      <w:pPr>
        <w:pStyle w:val="ListBullet"/>
        <w:spacing w:after="40"/>
      </w:pPr>
      <w:r>
        <w:t>ROI = net benefit divided by investment cost, expressed as a percentage where the denominator is valid.</w:t>
      </w:r>
    </w:p>
    <w:p>
      <w:pPr>
        <w:pStyle w:val="ListBullet"/>
        <w:spacing w:after="40"/>
      </w:pPr>
      <w:r>
        <w:t>Payback period = time required for cumulative net cash benefit to recover qualifying investment where time-phased inputs exist.</w:t>
      </w:r>
    </w:p>
    <w:p>
      <w:pPr>
        <w:spacing w:after="100"/>
      </w:pPr>
      <w:r>
        <w:t>These are calculation methods, not EcoGrow results. No ROI percentage, payback period or financial benefit is currently claimed.</w:t>
      </w:r>
    </w:p>
    <w:p>
      <w:pPr>
        <w:pStyle w:val="Heading1"/>
      </w:pPr>
      <w:r>
        <w:t>10. Sensitivity and Risk Controls</w:t>
      </w:r>
    </w:p>
    <w:p>
      <w:pPr>
        <w:pStyle w:val="ListBullet"/>
        <w:spacing w:after="40"/>
      </w:pPr>
      <w:r>
        <w:t>Identify assumptions that materially affect the model.</w:t>
      </w:r>
    </w:p>
    <w:p>
      <w:pPr>
        <w:pStyle w:val="ListBullet"/>
        <w:spacing w:after="40"/>
      </w:pPr>
      <w:r>
        <w:t>Record the evidence source and validation status for each material input.</w:t>
      </w:r>
    </w:p>
    <w:p>
      <w:pPr>
        <w:pStyle w:val="ListBullet"/>
        <w:spacing w:after="40"/>
      </w:pPr>
      <w:r>
        <w:t>Test cost and adoption changes before using any calculated ROI for a decision.</w:t>
      </w:r>
    </w:p>
    <w:p>
      <w:pPr>
        <w:pStyle w:val="ListBullet"/>
        <w:spacing w:after="40"/>
      </w:pPr>
      <w:r>
        <w:t>Separate operational measures from monetised benefits.</w:t>
      </w:r>
    </w:p>
    <w:p>
      <w:pPr>
        <w:pStyle w:val="ListBullet"/>
        <w:spacing w:after="40"/>
      </w:pPr>
      <w:r>
        <w:t>Document dependencies on F01 to F05 maturity where they affect F06 scale analysis.</w:t>
      </w:r>
    </w:p>
    <w:p>
      <w:pPr>
        <w:pStyle w:val="ListBullet"/>
        <w:spacing w:after="40"/>
      </w:pPr>
      <w:r>
        <w:t>Record downside conditions, cost escalation and rollback considerations.</w:t>
      </w:r>
    </w:p>
    <w:p>
      <w:pPr>
        <w:pStyle w:val="Heading1"/>
      </w:pPr>
      <w:r>
        <w:t>11. Governance and Decision Gates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Gate</w:t>
            </w:r>
          </w:p>
        </w:tc>
        <w:tc>
          <w:tcPr>
            <w:tcW w:type="dxa" w:w="3408"/>
          </w:tcPr>
          <w:p>
            <w:r>
              <w:t>Question</w:t>
            </w:r>
          </w:p>
        </w:tc>
        <w:tc>
          <w:tcPr>
            <w:tcW w:type="dxa" w:w="3408"/>
          </w:tcPr>
          <w:p>
            <w:r>
              <w:t>Current state</w:t>
            </w:r>
          </w:p>
        </w:tc>
      </w:tr>
      <w:tr>
        <w:tc>
          <w:tcPr>
            <w:tcW w:type="dxa" w:w="3408"/>
          </w:tcPr>
          <w:p>
            <w:r>
              <w:t>Evidence completeness</w:t>
            </w:r>
          </w:p>
        </w:tc>
        <w:tc>
          <w:tcPr>
            <w:tcW w:type="dxa" w:w="3408"/>
          </w:tcPr>
          <w:p>
            <w:r>
              <w:t>Are material cost and benefit inputs supported?</w:t>
            </w:r>
          </w:p>
        </w:tc>
        <w:tc>
          <w:tcPr>
            <w:tcW w:type="dxa" w:w="3408"/>
          </w:tcPr>
          <w:p>
            <w:r>
              <w:t>Open</w:t>
            </w:r>
          </w:p>
        </w:tc>
      </w:tr>
      <w:tr>
        <w:tc>
          <w:tcPr>
            <w:tcW w:type="dxa" w:w="3408"/>
          </w:tcPr>
          <w:p>
            <w:r>
              <w:t>Scenario credibility</w:t>
            </w:r>
          </w:p>
        </w:tc>
        <w:tc>
          <w:tcPr>
            <w:tcW w:type="dxa" w:w="3408"/>
          </w:tcPr>
          <w:p>
            <w:r>
              <w:t>Are adoption scenarios credible enough to model?</w:t>
            </w:r>
          </w:p>
        </w:tc>
        <w:tc>
          <w:tcPr>
            <w:tcW w:type="dxa" w:w="3408"/>
          </w:tcPr>
          <w:p>
            <w:r>
              <w:t>Open</w:t>
            </w:r>
          </w:p>
        </w:tc>
      </w:tr>
      <w:tr>
        <w:tc>
          <w:tcPr>
            <w:tcW w:type="dxa" w:w="3408"/>
          </w:tcPr>
          <w:p>
            <w:r>
              <w:t>Cost model maturity</w:t>
            </w:r>
          </w:p>
        </w:tc>
        <w:tc>
          <w:tcPr>
            <w:tcW w:type="dxa" w:w="3408"/>
          </w:tcPr>
          <w:p>
            <w:r>
              <w:t>Are material cost drivers defined and sourced?</w:t>
            </w:r>
          </w:p>
        </w:tc>
        <w:tc>
          <w:tcPr>
            <w:tcW w:type="dxa" w:w="3408"/>
          </w:tcPr>
          <w:p>
            <w:r>
              <w:t>Open</w:t>
            </w:r>
          </w:p>
        </w:tc>
      </w:tr>
      <w:tr>
        <w:tc>
          <w:tcPr>
            <w:tcW w:type="dxa" w:w="3408"/>
          </w:tcPr>
          <w:p>
            <w:r>
              <w:t>Benefit monetisation</w:t>
            </w:r>
          </w:p>
        </w:tc>
        <w:tc>
          <w:tcPr>
            <w:tcW w:type="dxa" w:w="3408"/>
          </w:tcPr>
          <w:p>
            <w:r>
              <w:t>Can any benefit be translated into defensible financial value?</w:t>
            </w:r>
          </w:p>
        </w:tc>
        <w:tc>
          <w:tcPr>
            <w:tcW w:type="dxa" w:w="3408"/>
          </w:tcPr>
          <w:p>
            <w:r>
              <w:t>Open</w:t>
            </w:r>
          </w:p>
        </w:tc>
      </w:tr>
      <w:tr>
        <w:tc>
          <w:tcPr>
            <w:tcW w:type="dxa" w:w="3408"/>
          </w:tcPr>
          <w:p>
            <w:r>
              <w:t>Sensitivity</w:t>
            </w:r>
          </w:p>
        </w:tc>
        <w:tc>
          <w:tcPr>
            <w:tcW w:type="dxa" w:w="3408"/>
          </w:tcPr>
          <w:p>
            <w:r>
              <w:t>Are material assumption changes tested?</w:t>
            </w:r>
          </w:p>
        </w:tc>
        <w:tc>
          <w:tcPr>
            <w:tcW w:type="dxa" w:w="3408"/>
          </w:tcPr>
          <w:p>
            <w:r>
              <w:t>Open</w:t>
            </w:r>
          </w:p>
        </w:tc>
      </w:tr>
      <w:tr>
        <w:tc>
          <w:tcPr>
            <w:tcW w:type="dxa" w:w="3408"/>
          </w:tcPr>
          <w:p>
            <w:r>
              <w:t>Business case</w:t>
            </w:r>
          </w:p>
        </w:tc>
        <w:tc>
          <w:tcPr>
            <w:tcW w:type="dxa" w:w="3408"/>
          </w:tcPr>
          <w:p>
            <w:r>
              <w:t>Is there enough evidence for an investment or scale decision?</w:t>
            </w:r>
          </w:p>
        </w:tc>
        <w:tc>
          <w:tcPr>
            <w:tcW w:type="dxa" w:w="3408"/>
          </w:tcPr>
          <w:p>
            <w:r>
              <w:t>Open</w:t>
            </w:r>
          </w:p>
        </w:tc>
      </w:tr>
      <w:tr>
        <w:tc>
          <w:tcPr>
            <w:tcW w:type="dxa" w:w="3408"/>
          </w:tcPr>
          <w:p>
            <w:r>
              <w:t>Delivery readiness</w:t>
            </w:r>
          </w:p>
        </w:tc>
        <w:tc>
          <w:tcPr>
            <w:tcW w:type="dxa" w:w="3408"/>
          </w:tcPr>
          <w:p>
            <w:r>
              <w:t>Have value and governance gates been resolved enough for future delivery authorisation?</w:t>
            </w:r>
          </w:p>
        </w:tc>
        <w:tc>
          <w:tcPr>
            <w:tcW w:type="dxa" w:w="3408"/>
          </w:tcPr>
          <w:p>
            <w:r>
              <w:t>Open</w:t>
            </w:r>
          </w:p>
        </w:tc>
      </w:tr>
    </w:tbl>
    <w:p>
      <w:pPr>
        <w:pStyle w:val="Heading1"/>
      </w:pPr>
      <w:r>
        <w:t>12. Jira Boundary</w:t>
      </w:r>
    </w:p>
    <w:p>
      <w:pPr>
        <w:spacing w:after="100"/>
      </w:pPr>
      <w:r>
        <w:t>I am keeping future-state Jira outside this Phase 3 analysis until the established progression model is satisfied.</w:t>
      </w:r>
    </w:p>
    <w:p>
      <w:pPr>
        <w:spacing w:after="100"/>
      </w:pPr>
      <w:r>
        <w:t>The future-state assurance keeps future IDs controlled and states that Jira creation is controlled until discovery maturity is reached.</w:t>
      </w:r>
    </w:p>
    <w:p>
      <w:pPr>
        <w:spacing w:after="100"/>
      </w:pPr>
      <w:r>
        <w:t>Future movement should resolve governance and value questions, confirm Definition of Ready, authorise IDs, create Jira work, plan a real sprint, build, test, review and obtain formal Product Owner acceptance.</w:t>
      </w:r>
    </w:p>
    <w:p>
      <w:pPr>
        <w:spacing w:after="100"/>
      </w:pPr>
      <w:r>
        <w:t>This engagement creates analysis artifacts only. It does not create F01-F06 Jira stories or imply future delivery activity.</w:t>
      </w:r>
    </w:p>
    <w:p>
      <w:pPr>
        <w:pStyle w:val="Heading1"/>
      </w:pPr>
      <w:r>
        <w:t>13. Phase 3 Deliverables</w:t>
      </w:r>
    </w:p>
    <w:p>
      <w:pPr>
        <w:pStyle w:val="ListBullet"/>
        <w:spacing w:after="40"/>
      </w:pPr>
      <w:r>
        <w:t>Investment &amp; ROI Discovery and Business Case framework.</w:t>
      </w:r>
    </w:p>
    <w:p>
      <w:pPr>
        <w:pStyle w:val="ListBullet"/>
        <w:spacing w:after="40"/>
      </w:pPr>
      <w:r>
        <w:t>Cost and Benefit Model with formula-ready scenario analysis.</w:t>
      </w:r>
    </w:p>
    <w:p>
      <w:pPr>
        <w:pStyle w:val="ListBullet"/>
        <w:spacing w:after="40"/>
      </w:pPr>
      <w:r>
        <w:t>Benefits Realisation linkage from BO-01 through BO-04 to evidence requirements.</w:t>
      </w:r>
    </w:p>
    <w:p>
      <w:pPr>
        <w:pStyle w:val="ListBullet"/>
        <w:spacing w:after="40"/>
      </w:pPr>
      <w:r>
        <w:t>Sensitivity and assumption register.</w:t>
      </w:r>
    </w:p>
    <w:p>
      <w:pPr>
        <w:pStyle w:val="ListBullet"/>
        <w:spacing w:after="40"/>
      </w:pPr>
      <w:r>
        <w:t>Business Case Decision Pack after material inputs are validated.</w:t>
      </w:r>
    </w:p>
    <w:p>
      <w:pPr>
        <w:pStyle w:val="ListBullet"/>
        <w:spacing w:after="40"/>
      </w:pPr>
      <w:r>
        <w:t>Future-State Delivery Readiness Gate after investment and value questions are sufficiently resolved.</w:t>
      </w:r>
    </w:p>
    <w:p>
      <w:pPr>
        <w:pStyle w:val="Heading1"/>
      </w:pPr>
      <w:r>
        <w:t>14. Current Decision</w:t>
      </w:r>
    </w:p>
    <w:p>
      <w:pPr>
        <w:spacing w:after="100"/>
      </w:pPr>
      <w:r>
        <w:t>I am proceeding with Phase 3A as an evidence-led investment and value discovery engagement.</w:t>
      </w:r>
    </w:p>
    <w:p>
      <w:pPr>
        <w:spacing w:after="100"/>
      </w:pPr>
      <w:r>
        <w:t>I am not presenting an ROI result yet because the source set does not contain validated financial inputs or realised benefit values.</w:t>
      </w:r>
    </w:p>
    <w:p>
      <w:pPr>
        <w:spacing w:after="100"/>
      </w:pPr>
      <w:r>
        <w:t>This preserves the evidence boundary established by F06 and the pre-operational benefits framework.</w:t>
      </w:r>
    </w:p>
    <w:p>
      <w:pPr>
        <w:pStyle w:val="Heading1"/>
      </w:pPr>
      <w:r>
        <w:t>Source Control Note</w:t>
      </w:r>
    </w:p>
    <w:p>
      <w:pPr>
        <w:spacing w:after="100"/>
      </w:pPr>
      <w:r>
        <w:t>Prepared against the revalidated EcoGrow F06 Deep Discovery, EcoGrow Benefits Register, EcoGrow Pre-Operational Benefits Framework, and Future-State Portfolio Integration Final Assurance.</w:t>
      </w:r>
    </w:p>
    <w:p>
      <w:pPr>
        <w:spacing w:after="100"/>
      </w:pPr>
      <w:r>
        <w:t>Source-derived positions are retained as provided. Unknown financial inputs remain open for evidence.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