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FB" w:rsidRDefault="00390DD1" w:rsidP="0059587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Abstract: </w:t>
      </w:r>
    </w:p>
    <w:p w:rsidR="00392388" w:rsidRDefault="000736FB" w:rsidP="00390DD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0736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Introduction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</w:t>
      </w:r>
      <w:r w:rsidR="00390DD1" w:rsidRP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he presence of circulating auto</w:t>
      </w:r>
      <w:r w:rsidR="005958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390DD1" w:rsidRP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antibodies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years before the clinical onset of RA </w:t>
      </w:r>
      <w:r w:rsidR="00390DD1" w:rsidRP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and</w:t>
      </w:r>
      <w:r w:rsidR="00B84A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="00390DD1" w:rsidRP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the presence of B cells at the site of inflammation in early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RA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highlight the importance of B cells in the pathogenesis of </w:t>
      </w:r>
      <w:r w:rsidR="00B808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the disease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 Interestingly, non-response to B cell therapy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in RA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is associated with an incomplete disruption of the BCR repertoire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(Sabrina paper)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and in the pre-clinical stage of the disease, B cell depletion did not prevent the onset of RA but delayed its onset by 24 months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(PRAIRI study)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. These results suggest that either B cells of different phenotypes are highly involved in the pathogenesis of the disease or that B cells play various roles 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including; auto-antibody production and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antigen presentation. While several studies have attempted to determine the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various</w:t>
      </w:r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role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</w:t>
      </w:r>
      <w:bookmarkStart w:id="0" w:name="_GoBack"/>
      <w:bookmarkEnd w:id="0"/>
      <w:r w:rsidR="00390D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 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 cells in RA, studies aimed at exploring</w:t>
      </w:r>
      <w:r w:rsidR="00D873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in detail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the phenotyp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 B cells especially during the pre-clinical phase are lacking.</w:t>
      </w:r>
    </w:p>
    <w:p w:rsidR="002501CF" w:rsidRDefault="000736FB" w:rsidP="00390DD1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0736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Methods: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873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 attempt to better understand the phenotype and evolution of B cells especially during the pre-clinical stage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, we used multicolor flow cytometry and high throughput next generation sequencing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 the B cell receptor</w:t>
      </w:r>
      <w:r w:rsidR="00250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 phenotype, quantify, and follow B cell clones over time during the pre-clinical phase of the disease.</w:t>
      </w:r>
    </w:p>
    <w:p w:rsidR="000736FB" w:rsidRDefault="000736FB" w:rsidP="00390DD1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</w:pPr>
      <w:r w:rsidRPr="000736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Results: </w:t>
      </w:r>
      <w:r w:rsidRPr="000736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During the at-risk phase,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B cell clones are highly expanded. While some expanded B cell clones can be of the memory phenotype, the majority of these clones are of the plasma blast/</w:t>
      </w:r>
      <w:r w:rsidRPr="000736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plasma cell phenotype.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3B03D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Further develop</w:t>
      </w:r>
    </w:p>
    <w:p w:rsidR="0059587C" w:rsidRPr="000736FB" w:rsidRDefault="0059587C" w:rsidP="00390D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 xml:space="preserve">Conclusion: </w:t>
      </w:r>
      <w:r w:rsidRPr="005958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Plasma cells/plasma blast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958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dominate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the B cell repertoire in peripheral blood of individuals at risk of developing RA. 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However, w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hether these dominant B ce</w:t>
      </w:r>
      <w:r w:rsidR="003B03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ll clones are ACPA-producing B cells remain to be determined. </w:t>
      </w:r>
      <w:r w:rsidR="003B03D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Further develop</w:t>
      </w:r>
    </w:p>
    <w:sectPr w:rsidR="0059587C" w:rsidRPr="00073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D1"/>
    <w:rsid w:val="000736FB"/>
    <w:rsid w:val="002501CF"/>
    <w:rsid w:val="00390DD1"/>
    <w:rsid w:val="003B03D6"/>
    <w:rsid w:val="0059587C"/>
    <w:rsid w:val="008C462B"/>
    <w:rsid w:val="00B808DA"/>
    <w:rsid w:val="00B84AC1"/>
    <w:rsid w:val="00C259DC"/>
    <w:rsid w:val="00D8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E9E5"/>
  <w15:chartTrackingRefBased/>
  <w15:docId w15:val="{36C4C47B-56FE-49D4-B84C-52F9D0BD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Anang, D.C. (Dornatien)</dc:creator>
  <cp:keywords/>
  <dc:description/>
  <cp:lastModifiedBy>Anang, D.C. (Dornatien)</cp:lastModifiedBy>
  <cp:revision>4</cp:revision>
  <dcterms:created xsi:type="dcterms:W3CDTF">2021-02-26T12:53:00Z</dcterms:created>
  <dcterms:modified xsi:type="dcterms:W3CDTF">2021-03-01T10:47:00Z</dcterms:modified>
</cp:coreProperties>
</file>