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1F3864"/>
          <w:sz w:val="64"/>
          <w:szCs w:val="64"/>
        </w:rPr>
        <w:t xml:space="preserve">HIV Distinction Pipeline</w:t>
      </w:r>
    </w:p>
    <w:p>
      <w:pPr>
        <w:jc w:val="center"/>
      </w:pPr>
      <w:r>
        <w:rPr>
          <w:rFonts w:ascii="Arial" w:cs="Arial" w:eastAsia="Arial" w:hAnsi="Arial"/>
          <w:b/>
          <w:bCs/>
          <w:color w:val="2E5FA3"/>
          <w:sz w:val="36"/>
          <w:szCs w:val="36"/>
        </w:rPr>
        <w:t xml:space="preserve">Complete Technical &amp; Mathematical Reference</w:t>
      </w:r>
    </w:p>
    <w:p>
      <w:pPr>
        <w:spacing w:before="40" w:after="40"/>
      </w:pPr>
      <w:r>
        <w:t xml:space="preserve"/>
      </w:r>
    </w:p>
    <w:p>
      <w:pPr>
        <w:spacing w:before="40" w:after="40"/>
      </w:pPr>
      <w:r>
        <w:t xml:space="preserve"/>
      </w:r>
    </w:p>
    <w:p>
      <w:pPr>
        <w:pBdr>
          <w:top w:val="single" w:color="2E5FA3" w:sz="6"/>
          <w:bottom w:val="single" w:color="2E5FA3" w:sz="6"/>
        </w:pBdr>
        <w:spacing w:before="200" w:after="200"/>
        <w:jc w:val="center"/>
      </w:pPr>
      <w:r>
        <w:rPr>
          <w:rFonts w:ascii="Arial" w:cs="Arial" w:eastAsia="Arial" w:hAnsi="Arial"/>
          <w:i/>
          <w:iCs/>
          <w:color w:val="555555"/>
          <w:sz w:val="24"/>
          <w:szCs w:val="24"/>
        </w:rPr>
        <w:t xml:space="preserve">Files, Data Formats, Mathematical Foundations, Statistical Significance &amp; Biological Interpretation</w:t>
      </w:r>
    </w:p>
    <w:p>
      <w:pPr>
        <w:spacing w:before="40" w:after="40"/>
      </w:pPr>
      <w:r>
        <w:t xml:space="preserve"/>
      </w:r>
    </w:p>
    <w:p>
      <w:pPr>
        <w:spacing w:before="40" w:after="40"/>
      </w:pPr>
      <w:r>
        <w:t xml:space="preserve"/>
      </w:r>
    </w:p>
    <w:p>
      <w:pPr>
        <w:jc w:val="center"/>
      </w:pPr>
      <w:r>
        <w:rPr>
          <w:rFonts w:ascii="Arial" w:cs="Arial" w:eastAsia="Arial" w:hAnsi="Arial"/>
          <w:color w:val="777777"/>
          <w:sz w:val="22"/>
          <w:szCs w:val="22"/>
        </w:rPr>
        <w:t xml:space="preserve">Dataset: GSE37250  |  Condition: HIV vs. Healthy Controls</w:t>
      </w:r>
    </w:p>
    <w:p>
      <w:pPr>
        <w:jc w:val="center"/>
      </w:pPr>
      <w:r>
        <w:rPr>
          <w:rFonts w:ascii="Arial" w:cs="Arial" w:eastAsia="Arial" w:hAnsi="Arial"/>
          <w:color w:val="777777"/>
          <w:sz w:val="22"/>
          <w:szCs w:val="22"/>
        </w:rPr>
        <w:t xml:space="preserve">Pipeline: Cell 1 → Cell 9  (9-stage bioinformatics workflow)</w:t>
      </w:r>
    </w:p>
    <w:p>
      <w:r>
        <w:br w:type="page"/>
      </w:r>
    </w:p>
    <w:p>
      <w:pPr>
        <w:pStyle w:val="Heading1"/>
        <w:pBdr>
          <w:bottom w:val="single" w:color="2E5FA3" w:sz="8" w:space="4"/>
        </w:pBdr>
        <w:spacing w:before="480" w:after="200"/>
      </w:pPr>
      <w:r>
        <w:rPr>
          <w:rFonts w:ascii="Arial" w:cs="Arial" w:eastAsia="Arial" w:hAnsi="Arial"/>
          <w:b/>
          <w:bCs/>
          <w:color w:val="1F3864"/>
          <w:sz w:val="36"/>
          <w:szCs w:val="36"/>
        </w:rPr>
        <w:t xml:space="preserve">0. Pipeline Overview</w:t>
      </w:r>
    </w:p>
    <w:p>
      <w:pPr>
        <w:spacing w:before="80" w:after="80"/>
        <w:jc w:val="both"/>
      </w:pPr>
      <w:r>
        <w:rPr>
          <w:rFonts w:ascii="Arial" w:cs="Arial" w:eastAsia="Arial" w:hAnsi="Arial"/>
          <w:sz w:val="22"/>
          <w:szCs w:val="22"/>
        </w:rPr>
        <w:t xml:space="preserve">This pipeline is a 9-stage bioinformatics workflow designed to identify the smallest possible set of gene biomarkers that can reliably distinguish HIV-positive patients from healthy controls using microarray gene expression data. The dataset used is GSE37250, sourced from the NCBI Gene Expression Omnibus (GEO).</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Overall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Cell</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 Name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File Discovery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Locate and name all input/output files</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File Conversion &amp; Extraction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TSV→CSV, GZ extraction, Series matrix cleaning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totalDEG Filtering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Filter for statistically significant differentially expressed genes</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Log2 Quantile Normalization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Remove technical bias from microarray expression values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Merge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Join DEG list with normalized expression matrix by probe ID</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Transpose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Reshape: rows=samples, cols=genes (ML convention)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Add Class Labels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Attach HIV/healthy labels from tableDEG.csv</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8</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mRMR Feature Selection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Select top 80% of genes by mutual information score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SVM-RFE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Eliminate weakest features iteratively to get final biomarker set</w:t>
            </w:r>
          </w:p>
        </w:tc>
      </w:tr>
    </w:tbl>
    <w:p>
      <w:pPr>
        <w:spacing w:before="40" w:after="40"/>
      </w:pPr>
      <w:r>
        <w:t xml:space="preserve"/>
      </w:r>
    </w:p>
    <w:p>
      <w:r>
        <w:br w:type="page"/>
      </w:r>
    </w:p>
    <w:p>
      <w:pPr>
        <w:pStyle w:val="Heading1"/>
        <w:pBdr>
          <w:bottom w:val="single" w:color="2E5FA3" w:sz="8" w:space="4"/>
        </w:pBdr>
        <w:spacing w:before="480" w:after="200"/>
      </w:pPr>
      <w:r>
        <w:rPr>
          <w:rFonts w:ascii="Arial" w:cs="Arial" w:eastAsia="Arial" w:hAnsi="Arial"/>
          <w:b/>
          <w:bCs/>
          <w:color w:val="1F3864"/>
          <w:sz w:val="36"/>
          <w:szCs w:val="36"/>
        </w:rPr>
        <w:t xml:space="preserve">1. Input Files</w:t>
      </w:r>
    </w:p>
    <w:p>
      <w:pPr>
        <w:pStyle w:val="Heading2"/>
        <w:spacing w:before="360" w:after="160"/>
      </w:pPr>
      <w:r>
        <w:rPr>
          <w:rFonts w:ascii="Arial" w:cs="Arial" w:eastAsia="Arial" w:hAnsi="Arial"/>
          <w:b/>
          <w:bCs/>
          <w:color w:val="2E5FA3"/>
          <w:sz w:val="28"/>
          <w:szCs w:val="28"/>
        </w:rPr>
        <w:t xml:space="preserve">1.1  GSEXXXX.top.table.tsv  — Differential Expression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18"/>
              <w:bottom w:val="single" w:color="2E86C1" w:sz="6"/>
              <w:right w:val="single" w:color="2E86C1" w:sz="6"/>
            </w:tcBorders>
            <w:shd w:fill="EBF5FB" w:val="clear"/>
            <w:tcMar>
              <w:top w:type="dxa" w:w="120"/>
              <w:left w:type="dxa" w:w="200"/>
              <w:bottom w:type="dxa" w:w="120"/>
              <w:right w:type="dxa" w:w="120"/>
            </w:tcMar>
          </w:tcPr>
          <w:p>
            <w:pPr>
              <w:spacing w:after="60"/>
            </w:pPr>
            <w:r>
              <w:rPr>
                <w:rFonts w:ascii="Arial" w:cs="Arial" w:eastAsia="Arial" w:hAnsi="Arial"/>
                <w:b/>
                <w:bCs/>
                <w:color w:val="17375E"/>
                <w:sz w:val="22"/>
                <w:szCs w:val="22"/>
              </w:rPr>
              <w:t xml:space="preserve">What this file is:</w:t>
            </w:r>
          </w:p>
          <w:p>
            <w:pPr>
              <w:spacing w:before="0" w:after="0"/>
            </w:pPr>
            <w:r>
              <w:rPr>
                <w:rFonts w:ascii="Arial" w:cs="Arial" w:eastAsia="Arial" w:hAnsi="Arial"/>
                <w:sz w:val="21"/>
                <w:szCs w:val="21"/>
              </w:rPr>
              <w:t xml:space="preserve">This is the primary statistical output from limma (Linear Models for Microarray Analysis), an R/Bioconductor package. It contains one row per microarray probe, with statistical evidence for differential gene expression between two conditions (e.g., HIV-infected vs. healthy).</w:t>
            </w:r>
          </w:p>
        </w:tc>
      </w:tr>
    </w:tbl>
    <w:p>
      <w:pPr>
        <w:spacing w:before="40" w:after="40"/>
      </w:pPr>
      <w:r>
        <w:t xml:space="preserve"/>
      </w:r>
    </w:p>
    <w:p>
      <w:pPr>
        <w:pStyle w:val="Heading3"/>
        <w:spacing w:before="280" w:after="120"/>
      </w:pPr>
      <w:r>
        <w:rPr>
          <w:rFonts w:ascii="Arial" w:cs="Arial" w:eastAsia="Arial" w:hAnsi="Arial"/>
          <w:b/>
          <w:bCs/>
          <w:color w:val="2F5496"/>
          <w:sz w:val="24"/>
          <w:szCs w:val="24"/>
        </w:rPr>
        <w:t xml:space="preserve">File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Unique probe identifier on the Affymetrix microarray chip (e.g., 1007_s_at)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Gene.symbol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HGNC gene symbol (e.g., MX1, IFI27). May be empty if probe maps to non-coding region.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Gene.title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Full gene name (e.g., MX dynamin like GTPase 1)</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logFC</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Float</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Log2 Fold Change: expression difference between conditions on a log2 scale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AveExpr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Float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Average log2 expression across all samples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Float</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Moderated t-statistic from empirical Bayes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Float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Raw p-value from the t-test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adj.P.Val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Float</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Benjamini-Hochberg FDR-corrected p-value (the key filter threshold)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Float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Log-odds that gene is differentially expressed (B-statistic)</w:t>
            </w:r>
          </w:p>
        </w:tc>
      </w:tr>
    </w:tbl>
    <w:p>
      <w:pPr>
        <w:spacing w:before="40" w:after="40"/>
      </w:pPr>
      <w:r>
        <w:t xml:space="preserve"/>
      </w:r>
    </w:p>
    <w:p>
      <w:pPr>
        <w:pStyle w:val="Heading3"/>
        <w:spacing w:before="280" w:after="120"/>
      </w:pPr>
      <w:r>
        <w:rPr>
          <w:rFonts w:ascii="Arial" w:cs="Arial" w:eastAsia="Arial" w:hAnsi="Arial"/>
          <w:b/>
          <w:bCs/>
          <w:color w:val="2F5496"/>
          <w:sz w:val="24"/>
          <w:szCs w:val="24"/>
        </w:rPr>
        <w:t xml:space="preserve">Mathematical Foundation: The logFC Column</w:t>
      </w:r>
    </w:p>
    <w:p>
      <w:pPr>
        <w:spacing w:before="80" w:after="80"/>
        <w:jc w:val="left"/>
      </w:pPr>
      <w:r>
        <w:rPr>
          <w:rFonts w:ascii="Arial" w:cs="Arial" w:eastAsia="Arial" w:hAnsi="Arial"/>
          <w:sz w:val="22"/>
          <w:szCs w:val="22"/>
        </w:rPr>
        <w:t xml:space="preserve">The log2 fold change is defined as:</w:t>
      </w:r>
    </w:p>
    <w:p>
      <w:pPr>
        <w:spacing w:before="120" w:after="120"/>
        <w:ind w:left="720"/>
        <w:jc w:val="center"/>
      </w:pPr>
      <w:r>
        <w:rPr>
          <w:rFonts w:ascii="Cambria Math" w:cs="Cambria Math" w:eastAsia="Cambria Math" w:hAnsi="Cambria Math"/>
          <w:b/>
          <w:bCs/>
          <w:color w:val="1A5276"/>
          <w:sz w:val="22"/>
          <w:szCs w:val="22"/>
        </w:rPr>
        <w:t xml:space="preserve">logFC = log₂(mean expression in condition A) − log₂(mean expression in condition B)</w:t>
      </w:r>
    </w:p>
    <w:p>
      <w:pPr>
        <w:spacing w:before="80" w:after="80"/>
        <w:jc w:val="left"/>
      </w:pPr>
      <w:r>
        <w:rPr>
          <w:rFonts w:ascii="Arial" w:cs="Arial" w:eastAsia="Arial" w:hAnsi="Arial"/>
          <w:sz w:val="22"/>
          <w:szCs w:val="22"/>
        </w:rPr>
        <w:t xml:space="preserve">This is equivalent to:</w:t>
      </w:r>
    </w:p>
    <w:p>
      <w:pPr>
        <w:spacing w:before="120" w:after="120"/>
        <w:ind w:left="720"/>
        <w:jc w:val="center"/>
      </w:pPr>
      <w:r>
        <w:rPr>
          <w:rFonts w:ascii="Cambria Math" w:cs="Cambria Math" w:eastAsia="Cambria Math" w:hAnsi="Cambria Math"/>
          <w:b/>
          <w:bCs/>
          <w:color w:val="1A5276"/>
          <w:sz w:val="22"/>
          <w:szCs w:val="22"/>
        </w:rPr>
        <w:t xml:space="preserve">logFC = log₂( meanₐ / meanᴮ )</w:t>
      </w:r>
    </w:p>
    <w:p>
      <w:pPr>
        <w:spacing w:before="80" w:after="80"/>
        <w:jc w:val="left"/>
      </w:pPr>
      <w:r>
        <w:rPr>
          <w:rFonts w:ascii="Arial" w:cs="Arial" w:eastAsia="Arial" w:hAnsi="Arial"/>
          <w:sz w:val="22"/>
          <w:szCs w:val="22"/>
        </w:rPr>
        <w:t xml:space="preserve">Why log2? Because it symmetrizes the scale. A gene doubled in expression has logFC = +1. A gene halved has logFC = −1. Without log transformation, a 10-fold increase gives +10 but a 10-fold decrease gives only −0.9. The pipeline filters for |logFC| ≥ 1, meaning only genes that are at least 2-fold up- or down-regulated are retained.</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Mathematical Foundation: The adj.P.Val Column</w:t>
      </w:r>
    </w:p>
    <w:p>
      <w:pPr>
        <w:spacing w:before="80" w:after="80"/>
        <w:jc w:val="left"/>
      </w:pPr>
      <w:r>
        <w:rPr>
          <w:rFonts w:ascii="Arial" w:cs="Arial" w:eastAsia="Arial" w:hAnsi="Arial"/>
          <w:sz w:val="22"/>
          <w:szCs w:val="22"/>
        </w:rPr>
        <w:t xml:space="preserve">The raw p-value answers: 'If there were truly no difference, what is the probability of seeing a t-statistic this extreme by chance?' However, when testing thousands of probes simultaneously, many will achieve p &lt; 0.05 purely by chance (multiple testing problem).</w:t>
      </w:r>
    </w:p>
    <w:p>
      <w:pPr>
        <w:spacing w:before="40" w:after="40"/>
      </w:pPr>
      <w:r>
        <w:t xml:space="preserve"/>
      </w:r>
    </w:p>
    <w:p>
      <w:pPr>
        <w:spacing w:before="80" w:after="80"/>
        <w:jc w:val="left"/>
      </w:pPr>
      <w:r>
        <w:rPr>
          <w:rFonts w:ascii="Arial" w:cs="Arial" w:eastAsia="Arial" w:hAnsi="Arial"/>
          <w:sz w:val="22"/>
          <w:szCs w:val="22"/>
        </w:rPr>
        <w:t xml:space="preserve">The Benjamini-Hochberg (BH) procedure controls the False Discovery Rate (FDR):</w:t>
      </w:r>
    </w:p>
    <w:p>
      <w:pPr>
        <w:spacing w:before="120" w:after="120"/>
        <w:ind w:left="720"/>
        <w:jc w:val="center"/>
      </w:pPr>
      <w:r>
        <w:rPr>
          <w:rFonts w:ascii="Cambria Math" w:cs="Cambria Math" w:eastAsia="Cambria Math" w:hAnsi="Cambria Math"/>
          <w:b/>
          <w:bCs/>
          <w:color w:val="1A5276"/>
          <w:sz w:val="22"/>
          <w:szCs w:val="22"/>
        </w:rPr>
        <w:t xml:space="preserve">Rank all p-values: p₁ ≤ p₂ ≤ ... ≤ pₘ</w:t>
      </w:r>
    </w:p>
    <w:p>
      <w:pPr>
        <w:spacing w:before="120" w:after="120"/>
        <w:ind w:left="720"/>
        <w:jc w:val="center"/>
      </w:pPr>
      <w:r>
        <w:rPr>
          <w:rFonts w:ascii="Cambria Math" w:cs="Cambria Math" w:eastAsia="Cambria Math" w:hAnsi="Cambria Math"/>
          <w:b/>
          <w:bCs/>
          <w:color w:val="1A5276"/>
          <w:sz w:val="22"/>
          <w:szCs w:val="22"/>
        </w:rPr>
        <w:t xml:space="preserve">Find largest k such that: pₖ ≤ (k/m) × α</w:t>
      </w:r>
    </w:p>
    <w:p>
      <w:pPr>
        <w:spacing w:before="120" w:after="120"/>
        <w:ind w:left="720"/>
        <w:jc w:val="center"/>
      </w:pPr>
      <w:r>
        <w:rPr>
          <w:rFonts w:ascii="Cambria Math" w:cs="Cambria Math" w:eastAsia="Cambria Math" w:hAnsi="Cambria Math"/>
          <w:b/>
          <w:bCs/>
          <w:color w:val="1A5276"/>
          <w:sz w:val="22"/>
          <w:szCs w:val="22"/>
        </w:rPr>
        <w:t xml:space="preserve">Declare all p₁, ..., pₖ significant (adj.P.Val ≤ α = 0.05)</w:t>
      </w:r>
    </w:p>
    <w:p>
      <w:pPr>
        <w:spacing w:before="80" w:after="80"/>
        <w:jc w:val="left"/>
      </w:pPr>
      <w:r>
        <w:rPr>
          <w:rFonts w:ascii="Arial" w:cs="Arial" w:eastAsia="Arial" w:hAnsi="Arial"/>
          <w:sz w:val="22"/>
          <w:szCs w:val="22"/>
        </w:rPr>
        <w:t xml:space="preserve">FDR = expected proportion of false discoveries among all rejected hypotheses. An adj.P.Val ≤ 0.05 means we accept that at most 5% of our 'significant' genes are false positives — a far more realistic guarantee than raw p-values when testing 50,000+ probes.</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Mathematical Foundation: The t-statistic and B-statistic</w:t>
      </w:r>
    </w:p>
    <w:p>
      <w:pPr>
        <w:spacing w:before="80" w:after="80"/>
        <w:jc w:val="left"/>
      </w:pPr>
      <w:r>
        <w:rPr>
          <w:rFonts w:ascii="Arial" w:cs="Arial" w:eastAsia="Arial" w:hAnsi="Arial"/>
          <w:sz w:val="22"/>
          <w:szCs w:val="22"/>
        </w:rPr>
        <w:t xml:space="preserve">The moderated t-statistic from limma's empirical Bayes framework:</w:t>
      </w:r>
    </w:p>
    <w:p>
      <w:pPr>
        <w:spacing w:before="120" w:after="120"/>
        <w:ind w:left="720"/>
        <w:jc w:val="center"/>
      </w:pPr>
      <w:r>
        <w:rPr>
          <w:rFonts w:ascii="Cambria Math" w:cs="Cambria Math" w:eastAsia="Cambria Math" w:hAnsi="Cambria Math"/>
          <w:b/>
          <w:bCs/>
          <w:color w:val="1A5276"/>
          <w:sz w:val="22"/>
          <w:szCs w:val="22"/>
        </w:rPr>
        <w:t xml:space="preserve">t̃ɡ = βɡ / (s̃ × SEɡ)</w:t>
      </w:r>
    </w:p>
    <w:p>
      <w:pPr>
        <w:spacing w:before="80" w:after="80"/>
        <w:jc w:val="left"/>
      </w:pPr>
      <w:r>
        <w:rPr>
          <w:rFonts w:ascii="Arial" w:cs="Arial" w:eastAsia="Arial" w:hAnsi="Arial"/>
          <w:sz w:val="22"/>
          <w:szCs w:val="22"/>
        </w:rPr>
        <w:t xml:space="preserve">where βɡ is the estimated log fold change, SEɡ is its standard error, and s̃ is a moderated variance estimate that borrows information across all genes. This shrinks extreme variance estimates toward a global mean, giving more stable results with small sample sizes.</w:t>
      </w:r>
    </w:p>
    <w:p>
      <w:pPr>
        <w:spacing w:before="40" w:after="40"/>
      </w:pPr>
      <w:r>
        <w:t xml:space="preserve"/>
      </w:r>
    </w:p>
    <w:p>
      <w:pPr>
        <w:spacing w:before="80" w:after="80"/>
        <w:jc w:val="left"/>
      </w:pPr>
      <w:r>
        <w:rPr>
          <w:rFonts w:ascii="Arial" w:cs="Arial" w:eastAsia="Arial" w:hAnsi="Arial"/>
          <w:sz w:val="22"/>
          <w:szCs w:val="22"/>
        </w:rPr>
        <w:t xml:space="preserve">The B-statistic (log-odds) is:</w:t>
      </w:r>
    </w:p>
    <w:p>
      <w:pPr>
        <w:spacing w:before="120" w:after="120"/>
        <w:ind w:left="720"/>
        <w:jc w:val="center"/>
      </w:pPr>
      <w:r>
        <w:rPr>
          <w:rFonts w:ascii="Cambria Math" w:cs="Cambria Math" w:eastAsia="Cambria Math" w:hAnsi="Cambria Math"/>
          <w:b/>
          <w:bCs/>
          <w:color w:val="1A5276"/>
          <w:sz w:val="22"/>
          <w:szCs w:val="22"/>
        </w:rPr>
        <w:t xml:space="preserve">B = log[ P(gene is DE | data) / P(gene is not DE | data) ]</w:t>
      </w:r>
    </w:p>
    <w:p>
      <w:pPr>
        <w:spacing w:before="80" w:after="80"/>
        <w:jc w:val="left"/>
      </w:pPr>
      <w:r>
        <w:rPr>
          <w:rFonts w:ascii="Arial" w:cs="Arial" w:eastAsia="Arial" w:hAnsi="Arial"/>
          <w:sz w:val="22"/>
          <w:szCs w:val="22"/>
        </w:rPr>
        <w:t xml:space="preserve">B &gt; 0 means the gene is more likely differentially expressed than not. B = 0 means equal probability. In practice, B is used for ranking but adj.P.Val is used for the actual threshold decision.</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Expected Data Characteristics</w:t>
      </w:r>
    </w:p>
    <w:p>
      <w:pPr>
        <w:pStyle w:val="ListParagraph"/>
        <w:numPr>
          <w:ilvl w:val="0"/>
          <w:numId w:val="2"/>
        </w:numPr>
        <w:spacing w:before="60" w:after="60"/>
      </w:pPr>
      <w:r>
        <w:rPr>
          <w:rFonts w:ascii="Arial" w:cs="Arial" w:eastAsia="Arial" w:hAnsi="Arial"/>
          <w:sz w:val="22"/>
          <w:szCs w:val="22"/>
        </w:rPr>
        <w:t xml:space="preserve">Typical microarray datasets: 20,000–54,000 probe rows</w:t>
      </w:r>
    </w:p>
    <w:p>
      <w:pPr>
        <w:pStyle w:val="ListParagraph"/>
        <w:numPr>
          <w:ilvl w:val="0"/>
          <w:numId w:val="2"/>
        </w:numPr>
        <w:spacing w:before="60" w:after="60"/>
      </w:pPr>
      <w:r>
        <w:rPr>
          <w:rFonts w:ascii="Arial" w:cs="Arial" w:eastAsia="Arial" w:hAnsi="Arial"/>
          <w:sz w:val="22"/>
          <w:szCs w:val="22"/>
        </w:rPr>
        <w:t xml:space="preserve">After adj.P.Val ≤ 0.05 filter: usually 500–5,000 probes remain (depends on effect size and sample size)</w:t>
      </w:r>
    </w:p>
    <w:p>
      <w:pPr>
        <w:pStyle w:val="ListParagraph"/>
        <w:numPr>
          <w:ilvl w:val="0"/>
          <w:numId w:val="2"/>
        </w:numPr>
        <w:spacing w:before="60" w:after="60"/>
      </w:pPr>
      <w:r>
        <w:rPr>
          <w:rFonts w:ascii="Arial" w:cs="Arial" w:eastAsia="Arial" w:hAnsi="Arial"/>
          <w:sz w:val="22"/>
          <w:szCs w:val="22"/>
        </w:rPr>
        <w:t xml:space="preserve">After |logFC| ≥ 1 filter: usually 100–2,000 probes remain</w:t>
      </w:r>
    </w:p>
    <w:p>
      <w:pPr>
        <w:pStyle w:val="ListParagraph"/>
        <w:numPr>
          <w:ilvl w:val="0"/>
          <w:numId w:val="2"/>
        </w:numPr>
        <w:spacing w:before="60" w:after="60"/>
      </w:pPr>
      <w:r>
        <w:rPr>
          <w:rFonts w:ascii="Arial" w:cs="Arial" w:eastAsia="Arial" w:hAnsi="Arial"/>
          <w:sz w:val="22"/>
          <w:szCs w:val="22"/>
        </w:rPr>
        <w:t xml:space="preserve">After best-probe-per-gene deduplication: even fewer, as multiple probes often map to the same gene</w:t>
      </w:r>
    </w:p>
    <w:p>
      <w:pPr>
        <w:spacing w:before="40" w:after="40"/>
      </w:pPr>
      <w:r>
        <w:t xml:space="preserve"/>
      </w:r>
    </w:p>
    <w:p>
      <w:pPr>
        <w:pStyle w:val="Heading2"/>
        <w:spacing w:before="360" w:after="160"/>
      </w:pPr>
      <w:r>
        <w:rPr>
          <w:rFonts w:ascii="Arial" w:cs="Arial" w:eastAsia="Arial" w:hAnsi="Arial"/>
          <w:b/>
          <w:bCs/>
          <w:color w:val="2E5FA3"/>
          <w:sz w:val="28"/>
          <w:szCs w:val="28"/>
        </w:rPr>
        <w:t xml:space="preserve">1.2  GSEXXXX_series_matrix.txt.gz  — Microarray Expression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18"/>
              <w:bottom w:val="single" w:color="2E86C1" w:sz="6"/>
              <w:right w:val="single" w:color="2E86C1" w:sz="6"/>
            </w:tcBorders>
            <w:shd w:fill="EBF5FB" w:val="clear"/>
            <w:tcMar>
              <w:top w:type="dxa" w:w="120"/>
              <w:left w:type="dxa" w:w="200"/>
              <w:bottom w:type="dxa" w:w="120"/>
              <w:right w:type="dxa" w:w="120"/>
            </w:tcMar>
          </w:tcPr>
          <w:p>
            <w:pPr>
              <w:spacing w:after="60"/>
            </w:pPr>
            <w:r>
              <w:rPr>
                <w:rFonts w:ascii="Arial" w:cs="Arial" w:eastAsia="Arial" w:hAnsi="Arial"/>
                <w:b/>
                <w:bCs/>
                <w:color w:val="17375E"/>
                <w:sz w:val="22"/>
                <w:szCs w:val="22"/>
              </w:rPr>
              <w:t xml:space="preserve">What this file is:</w:t>
            </w:r>
          </w:p>
          <w:p>
            <w:pPr>
              <w:spacing w:before="0" w:after="0"/>
            </w:pPr>
            <w:r>
              <w:rPr>
                <w:rFonts w:ascii="Arial" w:cs="Arial" w:eastAsia="Arial" w:hAnsi="Arial"/>
                <w:sz w:val="21"/>
                <w:szCs w:val="21"/>
              </w:rPr>
              <w:t xml:space="preserve">A gzip-compressed GEO Series Matrix file. This is the raw sample expression data deposited by the study authors. It contains the actual measured fluorescence intensities (or pre-processed signal values) for every probe in every sample.</w:t>
            </w:r>
          </w:p>
        </w:tc>
      </w:tr>
    </w:tbl>
    <w:p>
      <w:pPr>
        <w:spacing w:before="40" w:after="40"/>
      </w:pPr>
      <w:r>
        <w:t xml:space="preserve"/>
      </w:r>
    </w:p>
    <w:p>
      <w:pPr>
        <w:pStyle w:val="Heading3"/>
        <w:spacing w:before="280" w:after="120"/>
      </w:pPr>
      <w:r>
        <w:rPr>
          <w:rFonts w:ascii="Arial" w:cs="Arial" w:eastAsia="Arial" w:hAnsi="Arial"/>
          <w:b/>
          <w:bCs/>
          <w:color w:val="2F5496"/>
          <w:sz w:val="24"/>
          <w:szCs w:val="24"/>
        </w:rPr>
        <w:t xml:space="preserve">File Structure (after decompression)</w:t>
      </w:r>
    </w:p>
    <w:p>
      <w:pPr>
        <w:spacing w:before="80" w:after="80"/>
        <w:jc w:val="left"/>
      </w:pPr>
      <w:r>
        <w:rPr>
          <w:rFonts w:ascii="Arial" w:cs="Arial" w:eastAsia="Arial" w:hAnsi="Arial"/>
          <w:sz w:val="22"/>
          <w:szCs w:val="22"/>
        </w:rPr>
        <w:t xml:space="preserve">The file has two sections:</w:t>
      </w:r>
    </w:p>
    <w:p>
      <w:pPr>
        <w:pStyle w:val="ListParagraph"/>
        <w:numPr>
          <w:ilvl w:val="0"/>
          <w:numId w:val="2"/>
        </w:numPr>
        <w:spacing w:before="60" w:after="60"/>
      </w:pPr>
      <w:r>
        <w:rPr>
          <w:rFonts w:ascii="Arial" w:cs="Arial" w:eastAsia="Arial" w:hAnsi="Arial"/>
          <w:sz w:val="22"/>
          <w:szCs w:val="22"/>
        </w:rPr>
        <w:t xml:space="preserve">Header lines: begin with '!' and contain study metadata (title, platform, sample descriptions, experimental protocol). These are stripped out in Cell 2.</w:t>
      </w:r>
    </w:p>
    <w:p>
      <w:pPr>
        <w:pStyle w:val="ListParagraph"/>
        <w:numPr>
          <w:ilvl w:val="0"/>
          <w:numId w:val="2"/>
        </w:numPr>
        <w:spacing w:before="60" w:after="60"/>
      </w:pPr>
      <w:r>
        <w:rPr>
          <w:rFonts w:ascii="Arial" w:cs="Arial" w:eastAsia="Arial" w:hAnsi="Arial"/>
          <w:sz w:val="22"/>
          <w:szCs w:val="22"/>
        </w:rPr>
        <w:t xml:space="preserve">Data matrix: tab-separated, rows = probes, columns = samples. First column is 'ID_REF' (probe ID), remaining columns are sample accessions (e.g., GSM912345).</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What the values represent</w:t>
      </w:r>
    </w:p>
    <w:p>
      <w:pPr>
        <w:spacing w:before="80" w:after="80"/>
        <w:jc w:val="left"/>
      </w:pPr>
      <w:r>
        <w:rPr>
          <w:rFonts w:ascii="Arial" w:cs="Arial" w:eastAsia="Arial" w:hAnsi="Arial"/>
          <w:sz w:val="22"/>
          <w:szCs w:val="22"/>
        </w:rPr>
        <w:t xml:space="preserve">Each cell contains the signal intensity for probe i in sample j. Depending on the platform and preprocessing:</w:t>
      </w:r>
    </w:p>
    <w:p>
      <w:pPr>
        <w:pStyle w:val="ListParagraph"/>
        <w:numPr>
          <w:ilvl w:val="0"/>
          <w:numId w:val="2"/>
        </w:numPr>
        <w:spacing w:before="60" w:after="60"/>
      </w:pPr>
      <w:r>
        <w:rPr>
          <w:rFonts w:ascii="Arial" w:cs="Arial" w:eastAsia="Arial" w:hAnsi="Arial"/>
          <w:sz w:val="22"/>
          <w:szCs w:val="22"/>
        </w:rPr>
        <w:t xml:space="preserve">Raw values: fluorescence counts from the chip scanner, typically 0–65535</w:t>
      </w:r>
    </w:p>
    <w:p>
      <w:pPr>
        <w:pStyle w:val="ListParagraph"/>
        <w:numPr>
          <w:ilvl w:val="0"/>
          <w:numId w:val="2"/>
        </w:numPr>
        <w:spacing w:before="60" w:after="60"/>
      </w:pPr>
      <w:r>
        <w:rPr>
          <w:rFonts w:ascii="Arial" w:cs="Arial" w:eastAsia="Arial" w:hAnsi="Arial"/>
          <w:sz w:val="22"/>
          <w:szCs w:val="22"/>
        </w:rPr>
        <w:t xml:space="preserve">Pre-processed values: may already be log2-transformed. Median values in range 2–16 indicate log2 transformation has been applied.</w:t>
      </w:r>
    </w:p>
    <w:p>
      <w:pPr>
        <w:spacing w:before="80" w:after="80"/>
        <w:jc w:val="left"/>
      </w:pPr>
      <w:r>
        <w:rPr>
          <w:rFonts w:ascii="Arial" w:cs="Arial" w:eastAsia="Arial" w:hAnsi="Arial"/>
          <w:sz w:val="22"/>
          <w:szCs w:val="22"/>
        </w:rPr>
        <w:t xml:space="preserve">The pipeline auto-detects this: if column medians fall in 2–16, data is already log2-normalized. Otherwise, it applies log2 transformation.</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Mathematical Significance: Why This Matrix Matters</w:t>
      </w:r>
    </w:p>
    <w:p>
      <w:pPr>
        <w:spacing w:before="80" w:after="80"/>
        <w:jc w:val="left"/>
      </w:pPr>
      <w:r>
        <w:rPr>
          <w:rFonts w:ascii="Arial" w:cs="Arial" w:eastAsia="Arial" w:hAnsi="Arial"/>
          <w:sz w:val="22"/>
          <w:szCs w:val="22"/>
        </w:rPr>
        <w:t xml:space="preserve">This is the core data source. Every downstream analysis depends on accurate expression values here. The matrix has dimensions:</w:t>
      </w:r>
    </w:p>
    <w:p>
      <w:pPr>
        <w:spacing w:before="120" w:after="120"/>
        <w:ind w:left="720"/>
        <w:jc w:val="center"/>
      </w:pPr>
      <w:r>
        <w:rPr>
          <w:rFonts w:ascii="Cambria Math" w:cs="Cambria Math" w:eastAsia="Cambria Math" w:hAnsi="Cambria Math"/>
          <w:b/>
          <w:bCs/>
          <w:color w:val="1A5276"/>
          <w:sz w:val="22"/>
          <w:szCs w:val="22"/>
        </w:rPr>
        <w:t xml:space="preserve">M ∈ ℝ^(P × S)</w:t>
      </w:r>
    </w:p>
    <w:p>
      <w:pPr>
        <w:spacing w:before="80" w:after="80"/>
        <w:jc w:val="left"/>
      </w:pPr>
      <w:r>
        <w:rPr>
          <w:rFonts w:ascii="Arial" w:cs="Arial" w:eastAsia="Arial" w:hAnsi="Arial"/>
          <w:sz w:val="22"/>
          <w:szCs w:val="22"/>
        </w:rPr>
        <w:t xml:space="preserve">where P = number of probes (typically 40,000–54,000) and S = number of samples (e.g., 60–200 for GSE37250). After filtering to DEGs and transposing, this becomes:</w:t>
      </w:r>
    </w:p>
    <w:p>
      <w:pPr>
        <w:spacing w:before="120" w:after="120"/>
        <w:ind w:left="720"/>
        <w:jc w:val="center"/>
      </w:pPr>
      <w:r>
        <w:rPr>
          <w:rFonts w:ascii="Cambria Math" w:cs="Cambria Math" w:eastAsia="Cambria Math" w:hAnsi="Cambria Math"/>
          <w:b/>
          <w:bCs/>
          <w:color w:val="1A5276"/>
          <w:sz w:val="22"/>
          <w:szCs w:val="22"/>
        </w:rPr>
        <w:t xml:space="preserve">X ∈ ℝ^(S × G)</w:t>
      </w:r>
    </w:p>
    <w:p>
      <w:pPr>
        <w:spacing w:before="80" w:after="80"/>
        <w:jc w:val="left"/>
      </w:pPr>
      <w:r>
        <w:rPr>
          <w:rFonts w:ascii="Arial" w:cs="Arial" w:eastAsia="Arial" w:hAnsi="Arial"/>
          <w:sz w:val="22"/>
          <w:szCs w:val="22"/>
        </w:rPr>
        <w:t xml:space="preserve">where G = number of selected DEGs. This is the feature matrix that feeds into machine learning.</w:t>
      </w:r>
    </w:p>
    <w:p>
      <w:pPr>
        <w:spacing w:before="40" w:after="40"/>
      </w:pPr>
      <w:r>
        <w:t xml:space="preserve"/>
      </w:r>
    </w:p>
    <w:p>
      <w:pPr>
        <w:pStyle w:val="Heading2"/>
        <w:spacing w:before="360" w:after="160"/>
      </w:pPr>
      <w:r>
        <w:rPr>
          <w:rFonts w:ascii="Arial" w:cs="Arial" w:eastAsia="Arial" w:hAnsi="Arial"/>
          <w:b/>
          <w:bCs/>
          <w:color w:val="2E5FA3"/>
          <w:sz w:val="28"/>
          <w:szCs w:val="28"/>
        </w:rPr>
        <w:t xml:space="preserve">1.3  gse37250_hiv_distinction_tableDEG.csv  — Sample Class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18"/>
              <w:bottom w:val="single" w:color="2E86C1" w:sz="6"/>
              <w:right w:val="single" w:color="2E86C1" w:sz="6"/>
            </w:tcBorders>
            <w:shd w:fill="EBF5FB" w:val="clear"/>
            <w:tcMar>
              <w:top w:type="dxa" w:w="120"/>
              <w:left w:type="dxa" w:w="200"/>
              <w:bottom w:type="dxa" w:w="120"/>
              <w:right w:type="dxa" w:w="120"/>
            </w:tcMar>
          </w:tcPr>
          <w:p>
            <w:pPr>
              <w:spacing w:after="60"/>
            </w:pPr>
            <w:r>
              <w:rPr>
                <w:rFonts w:ascii="Arial" w:cs="Arial" w:eastAsia="Arial" w:hAnsi="Arial"/>
                <w:b/>
                <w:bCs/>
                <w:color w:val="17375E"/>
                <w:sz w:val="22"/>
                <w:szCs w:val="22"/>
              </w:rPr>
              <w:t xml:space="preserve">What this file is:</w:t>
            </w:r>
          </w:p>
          <w:p>
            <w:pPr>
              <w:spacing w:before="0" w:after="0"/>
            </w:pPr>
            <w:r>
              <w:rPr>
                <w:rFonts w:ascii="Arial" w:cs="Arial" w:eastAsia="Arial" w:hAnsi="Arial"/>
                <w:sz w:val="21"/>
                <w:szCs w:val="21"/>
              </w:rPr>
              <w:t xml:space="preserve">A manually curated CSV mapping each sample accession (GSM ID) to its class label (HIV+ or healthy control). This is the ground truth used for supervised learning.</w:t>
            </w:r>
          </w:p>
        </w:tc>
      </w:tr>
    </w:tbl>
    <w:p>
      <w:pPr>
        <w:spacing w:before="40" w:after="40"/>
      </w:pPr>
      <w:r>
        <w:t xml:space="preserve"/>
      </w:r>
    </w:p>
    <w:p>
      <w:pPr>
        <w:pStyle w:val="Heading3"/>
        <w:spacing w:before="280" w:after="120"/>
      </w:pPr>
      <w:r>
        <w:rPr>
          <w:rFonts w:ascii="Arial" w:cs="Arial" w:eastAsia="Arial" w:hAnsi="Arial"/>
          <w:b/>
          <w:bCs/>
          <w:color w:val="2F5496"/>
          <w:sz w:val="24"/>
          <w:szCs w:val="24"/>
        </w:rPr>
        <w:t xml:space="preserve">Expected Columns</w:t>
      </w:r>
    </w:p>
    <w:p>
      <w:pPr>
        <w:pStyle w:val="ListParagraph"/>
        <w:numPr>
          <w:ilvl w:val="0"/>
          <w:numId w:val="2"/>
        </w:numPr>
        <w:spacing w:before="60" w:after="60"/>
      </w:pPr>
      <w:r>
        <w:rPr>
          <w:rFonts w:ascii="Arial" w:cs="Arial" w:eastAsia="Arial" w:hAnsi="Arial"/>
          <w:sz w:val="22"/>
          <w:szCs w:val="22"/>
        </w:rPr>
        <w:t xml:space="preserve">Accession: GEO sample ID (e.g., GSM912345) — used to join with the expression matrix</w:t>
      </w:r>
    </w:p>
    <w:p>
      <w:pPr>
        <w:pStyle w:val="ListParagraph"/>
        <w:numPr>
          <w:ilvl w:val="0"/>
          <w:numId w:val="2"/>
        </w:numPr>
        <w:spacing w:before="60" w:after="60"/>
      </w:pPr>
      <w:r>
        <w:rPr>
          <w:rFonts w:ascii="Arial" w:cs="Arial" w:eastAsia="Arial" w:hAnsi="Arial"/>
          <w:sz w:val="22"/>
          <w:szCs w:val="22"/>
        </w:rPr>
        <w:t xml:space="preserve">CLASS: class label, typically numeric (0 = healthy, 1 = HIV+) or string equivalents</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Statistical Significance of Class Labels</w:t>
      </w:r>
    </w:p>
    <w:p>
      <w:pPr>
        <w:spacing w:before="80" w:after="80"/>
        <w:jc w:val="left"/>
      </w:pPr>
      <w:r>
        <w:rPr>
          <w:rFonts w:ascii="Arial" w:cs="Arial" w:eastAsia="Arial" w:hAnsi="Arial"/>
          <w:sz w:val="22"/>
          <w:szCs w:val="22"/>
        </w:rPr>
        <w:t xml:space="preserve">Class balance matters for model performance. If 80% of samples are HIV+ and only 20% are healthy, a naive model could achieve 80% accuracy simply by always predicting HIV+. Ideally, classes should be balanced (roughly 50/50), or class weights must be adjusted. The pipeline converts labels to category codes (0, 1) using pandas cat.codes.</w:t>
      </w:r>
    </w:p>
    <w:p>
      <w:r>
        <w:br w:type="page"/>
      </w:r>
    </w:p>
    <w:p>
      <w:pPr>
        <w:pStyle w:val="Heading1"/>
        <w:pBdr>
          <w:bottom w:val="single" w:color="2E5FA3" w:sz="8" w:space="4"/>
        </w:pBdr>
        <w:spacing w:before="480" w:after="200"/>
      </w:pPr>
      <w:r>
        <w:rPr>
          <w:rFonts w:ascii="Arial" w:cs="Arial" w:eastAsia="Arial" w:hAnsi="Arial"/>
          <w:b/>
          <w:bCs/>
          <w:color w:val="1F3864"/>
          <w:sz w:val="36"/>
          <w:szCs w:val="36"/>
        </w:rPr>
        <w:t xml:space="preserve">2. Intermediate Files (Produced &amp; Consumed by Pipeline)</w:t>
      </w:r>
    </w:p>
    <w:p>
      <w:pPr>
        <w:pStyle w:val="Heading2"/>
        <w:spacing w:before="360" w:after="160"/>
      </w:pPr>
      <w:r>
        <w:rPr>
          <w:rFonts w:ascii="Arial" w:cs="Arial" w:eastAsia="Arial" w:hAnsi="Arial"/>
          <w:b/>
          <w:bCs/>
          <w:color w:val="2E5FA3"/>
          <w:sz w:val="28"/>
          <w:szCs w:val="28"/>
        </w:rPr>
        <w:t xml:space="preserve">2.1  GSEXXXX.csv  — Converted Differential Expression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18"/>
              <w:bottom w:val="single" w:color="2E86C1" w:sz="6"/>
              <w:right w:val="single" w:color="2E86C1" w:sz="6"/>
            </w:tcBorders>
            <w:shd w:fill="EBF5FB" w:val="clear"/>
            <w:tcMar>
              <w:top w:type="dxa" w:w="120"/>
              <w:left w:type="dxa" w:w="200"/>
              <w:bottom w:type="dxa" w:w="120"/>
              <w:right w:type="dxa" w:w="120"/>
            </w:tcMar>
          </w:tcPr>
          <w:p>
            <w:pPr>
              <w:spacing w:after="60"/>
            </w:pPr>
            <w:r>
              <w:rPr>
                <w:rFonts w:ascii="Arial" w:cs="Arial" w:eastAsia="Arial" w:hAnsi="Arial"/>
                <w:b/>
                <w:bCs/>
                <w:color w:val="17375E"/>
                <w:sz w:val="22"/>
                <w:szCs w:val="22"/>
              </w:rPr>
              <w:t xml:space="preserve">Produced by:</w:t>
            </w:r>
          </w:p>
          <w:p>
            <w:pPr>
              <w:spacing w:before="0" w:after="0"/>
            </w:pPr>
            <w:r>
              <w:rPr>
                <w:rFonts w:ascii="Arial" w:cs="Arial" w:eastAsia="Arial" w:hAnsi="Arial"/>
                <w:sz w:val="21"/>
                <w:szCs w:val="21"/>
              </w:rPr>
              <w:t xml:space="preserve">Cell 2 (TSV→CSV conversion)  |  Consumed by: Cell 3</w:t>
            </w:r>
          </w:p>
        </w:tc>
      </w:tr>
    </w:tbl>
    <w:p>
      <w:pPr>
        <w:spacing w:before="40" w:after="40"/>
      </w:pPr>
      <w:r>
        <w:t xml:space="preserve"/>
      </w:r>
    </w:p>
    <w:p>
      <w:pPr>
        <w:spacing w:before="80" w:after="80"/>
        <w:jc w:val="left"/>
      </w:pPr>
      <w:r>
        <w:rPr>
          <w:rFonts w:ascii="Arial" w:cs="Arial" w:eastAsia="Arial" w:hAnsi="Arial"/>
          <w:sz w:val="22"/>
          <w:szCs w:val="22"/>
        </w:rPr>
        <w:t xml:space="preserve">This is a direct copy of the .top.table.tsv file, reformatted as comma-separated values. No data transformation occurs — only delimiter change. The file serves as input to the DEG filtering stage.</w:t>
      </w:r>
    </w:p>
    <w:p>
      <w:pPr>
        <w:spacing w:before="80" w:after="80"/>
        <w:jc w:val="left"/>
      </w:pPr>
      <w:r>
        <w:rPr>
          <w:rFonts w:ascii="Arial" w:cs="Arial" w:eastAsia="Arial" w:hAnsi="Arial"/>
          <w:sz w:val="22"/>
          <w:szCs w:val="22"/>
        </w:rPr>
        <w:t xml:space="preserve">Why convert? CSV is more universally parseable by pandas and avoids tab-encoding edge cases in gene names or titles.</w:t>
      </w:r>
    </w:p>
    <w:p>
      <w:pPr>
        <w:spacing w:before="40" w:after="40"/>
      </w:pPr>
      <w:r>
        <w:t xml:space="preserve"/>
      </w:r>
    </w:p>
    <w:p>
      <w:pPr>
        <w:pStyle w:val="Heading2"/>
        <w:spacing w:before="360" w:after="160"/>
      </w:pPr>
      <w:r>
        <w:rPr>
          <w:rFonts w:ascii="Arial" w:cs="Arial" w:eastAsia="Arial" w:hAnsi="Arial"/>
          <w:b/>
          <w:bCs/>
          <w:color w:val="2E5FA3"/>
          <w:sz w:val="28"/>
          <w:szCs w:val="28"/>
        </w:rPr>
        <w:t xml:space="preserve">2.2  GSEXXXX_series_matrixpre_mod.txt  — Raw Decompressed Series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18"/>
              <w:bottom w:val="single" w:color="2E86C1" w:sz="6"/>
              <w:right w:val="single" w:color="2E86C1" w:sz="6"/>
            </w:tcBorders>
            <w:shd w:fill="EBF5FB" w:val="clear"/>
            <w:tcMar>
              <w:top w:type="dxa" w:w="120"/>
              <w:left w:type="dxa" w:w="200"/>
              <w:bottom w:type="dxa" w:w="120"/>
              <w:right w:type="dxa" w:w="120"/>
            </w:tcMar>
          </w:tcPr>
          <w:p>
            <w:pPr>
              <w:spacing w:after="60"/>
            </w:pPr>
            <w:r>
              <w:rPr>
                <w:rFonts w:ascii="Arial" w:cs="Arial" w:eastAsia="Arial" w:hAnsi="Arial"/>
                <w:b/>
                <w:bCs/>
                <w:color w:val="17375E"/>
                <w:sz w:val="22"/>
                <w:szCs w:val="22"/>
              </w:rPr>
              <w:t xml:space="preserve">Produced by:</w:t>
            </w:r>
          </w:p>
          <w:p>
            <w:pPr>
              <w:spacing w:before="0" w:after="0"/>
            </w:pPr>
            <w:r>
              <w:rPr>
                <w:rFonts w:ascii="Arial" w:cs="Arial" w:eastAsia="Arial" w:hAnsi="Arial"/>
                <w:sz w:val="21"/>
                <w:szCs w:val="21"/>
              </w:rPr>
              <w:t xml:space="preserve">Cell 2 (GZ extraction)  |  Consumed by: Cell 2 (cleaning step)</w:t>
            </w:r>
          </w:p>
        </w:tc>
      </w:tr>
    </w:tbl>
    <w:p>
      <w:pPr>
        <w:spacing w:before="40" w:after="40"/>
      </w:pPr>
      <w:r>
        <w:t xml:space="preserve"/>
      </w:r>
    </w:p>
    <w:p>
      <w:pPr>
        <w:spacing w:before="80" w:after="80"/>
        <w:jc w:val="left"/>
      </w:pPr>
      <w:r>
        <w:rPr>
          <w:rFonts w:ascii="Arial" w:cs="Arial" w:eastAsia="Arial" w:hAnsi="Arial"/>
          <w:sz w:val="22"/>
          <w:szCs w:val="22"/>
        </w:rPr>
        <w:t xml:space="preserve">This is the fully decompressed series matrix file, including all '!' metadata header lines. It is a temporary intermediate — the pipeline immediately cleans it in the same cell. File size is typically 50–500 MB uncompressed for large GEO datasets.</w:t>
      </w:r>
    </w:p>
    <w:p>
      <w:pPr>
        <w:spacing w:before="40" w:after="40"/>
      </w:pPr>
      <w:r>
        <w:t xml:space="preserve"/>
      </w:r>
    </w:p>
    <w:p>
      <w:pPr>
        <w:pStyle w:val="Heading2"/>
        <w:spacing w:before="360" w:after="160"/>
      </w:pPr>
      <w:r>
        <w:rPr>
          <w:rFonts w:ascii="Arial" w:cs="Arial" w:eastAsia="Arial" w:hAnsi="Arial"/>
          <w:b/>
          <w:bCs/>
          <w:color w:val="2E5FA3"/>
          <w:sz w:val="28"/>
          <w:szCs w:val="28"/>
        </w:rPr>
        <w:t xml:space="preserve">2.3  GSEXXXX_series_matrix.txt  — Cleaned Expression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18"/>
              <w:bottom w:val="single" w:color="2E86C1" w:sz="6"/>
              <w:right w:val="single" w:color="2E86C1" w:sz="6"/>
            </w:tcBorders>
            <w:shd w:fill="EBF5FB" w:val="clear"/>
            <w:tcMar>
              <w:top w:type="dxa" w:w="120"/>
              <w:left w:type="dxa" w:w="200"/>
              <w:bottom w:type="dxa" w:w="120"/>
              <w:right w:type="dxa" w:w="120"/>
            </w:tcMar>
          </w:tcPr>
          <w:p>
            <w:pPr>
              <w:spacing w:after="60"/>
            </w:pPr>
            <w:r>
              <w:rPr>
                <w:rFonts w:ascii="Arial" w:cs="Arial" w:eastAsia="Arial" w:hAnsi="Arial"/>
                <w:b/>
                <w:bCs/>
                <w:color w:val="17375E"/>
                <w:sz w:val="22"/>
                <w:szCs w:val="22"/>
              </w:rPr>
              <w:t xml:space="preserve">Produced by:</w:t>
            </w:r>
          </w:p>
          <w:p>
            <w:pPr>
              <w:spacing w:before="0" w:after="0"/>
            </w:pPr>
            <w:r>
              <w:rPr>
                <w:rFonts w:ascii="Arial" w:cs="Arial" w:eastAsia="Arial" w:hAnsi="Arial"/>
                <w:sz w:val="21"/>
                <w:szCs w:val="21"/>
              </w:rPr>
              <w:t xml:space="preserve">Cell 2 (cleaning)  |  Consumed by: Cell 4 (normalization)</w:t>
            </w:r>
          </w:p>
        </w:tc>
      </w:tr>
    </w:tbl>
    <w:p>
      <w:pPr>
        <w:spacing w:before="40" w:after="40"/>
      </w:pPr>
      <w:r>
        <w:t xml:space="preserve"/>
      </w:r>
    </w:p>
    <w:p>
      <w:pPr>
        <w:spacing w:before="80" w:after="80"/>
        <w:jc w:val="left"/>
      </w:pPr>
      <w:r>
        <w:rPr>
          <w:rFonts w:ascii="Arial" w:cs="Arial" w:eastAsia="Arial" w:hAnsi="Arial"/>
          <w:sz w:val="22"/>
          <w:szCs w:val="22"/>
        </w:rPr>
        <w:t xml:space="preserve">The '!' header lines are stripped, leaving only the tab-delimited data block. First row is the header with sample IDs; first column (ID_REF) contains probe identifiers. This is the file read into the normalization step.</w:t>
      </w:r>
    </w:p>
    <w:p>
      <w:pPr>
        <w:pStyle w:val="Heading3"/>
        <w:spacing w:before="280" w:after="120"/>
      </w:pPr>
      <w:r>
        <w:rPr>
          <w:rFonts w:ascii="Arial" w:cs="Arial" w:eastAsia="Arial" w:hAnsi="Arial"/>
          <w:b/>
          <w:bCs/>
          <w:color w:val="2F5496"/>
          <w:sz w:val="24"/>
          <w:szCs w:val="24"/>
        </w:rPr>
        <w:t xml:space="preserve">Expected Characteristics</w:t>
      </w:r>
    </w:p>
    <w:p>
      <w:pPr>
        <w:pStyle w:val="ListParagraph"/>
        <w:numPr>
          <w:ilvl w:val="0"/>
          <w:numId w:val="2"/>
        </w:numPr>
        <w:spacing w:before="60" w:after="60"/>
      </w:pPr>
      <w:r>
        <w:rPr>
          <w:rFonts w:ascii="Arial" w:cs="Arial" w:eastAsia="Arial" w:hAnsi="Arial"/>
          <w:sz w:val="22"/>
          <w:szCs w:val="22"/>
        </w:rPr>
        <w:t xml:space="preserve">Rows: 40,000–54,000 (one per probe for Affymetrix HG-U133 Plus 2.0 chip)</w:t>
      </w:r>
    </w:p>
    <w:p>
      <w:pPr>
        <w:pStyle w:val="ListParagraph"/>
        <w:numPr>
          <w:ilvl w:val="0"/>
          <w:numId w:val="2"/>
        </w:numPr>
        <w:spacing w:before="60" w:after="60"/>
      </w:pPr>
      <w:r>
        <w:rPr>
          <w:rFonts w:ascii="Arial" w:cs="Arial" w:eastAsia="Arial" w:hAnsi="Arial"/>
          <w:sz w:val="22"/>
          <w:szCs w:val="22"/>
        </w:rPr>
        <w:t xml:space="preserve">Columns: 1 (ID_REF) + N samples</w:t>
      </w:r>
    </w:p>
    <w:p>
      <w:pPr>
        <w:pStyle w:val="ListParagraph"/>
        <w:numPr>
          <w:ilvl w:val="0"/>
          <w:numId w:val="2"/>
        </w:numPr>
        <w:spacing w:before="60" w:after="60"/>
      </w:pPr>
      <w:r>
        <w:rPr>
          <w:rFonts w:ascii="Arial" w:cs="Arial" w:eastAsia="Arial" w:hAnsi="Arial"/>
          <w:sz w:val="22"/>
          <w:szCs w:val="22"/>
        </w:rPr>
        <w:t xml:space="preserve">Values: expression intensities, either raw (large integers) or pre-log2 (2–16 range)</w:t>
      </w:r>
    </w:p>
    <w:p>
      <w:pPr>
        <w:spacing w:before="40" w:after="40"/>
      </w:pPr>
      <w:r>
        <w:t xml:space="preserve"/>
      </w:r>
    </w:p>
    <w:p>
      <w:pPr>
        <w:pStyle w:val="Heading2"/>
        <w:spacing w:before="360" w:after="160"/>
      </w:pPr>
      <w:r>
        <w:rPr>
          <w:rFonts w:ascii="Arial" w:cs="Arial" w:eastAsia="Arial" w:hAnsi="Arial"/>
          <w:b/>
          <w:bCs/>
          <w:color w:val="2E5FA3"/>
          <w:sz w:val="28"/>
          <w:szCs w:val="28"/>
        </w:rPr>
        <w:t xml:space="preserve">2.4  GSEXXXX_log_quantile_normalized_data.csv  — Normalized Expression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18"/>
              <w:bottom w:val="single" w:color="2E86C1" w:sz="6"/>
              <w:right w:val="single" w:color="2E86C1" w:sz="6"/>
            </w:tcBorders>
            <w:shd w:fill="EBF5FB" w:val="clear"/>
            <w:tcMar>
              <w:top w:type="dxa" w:w="120"/>
              <w:left w:type="dxa" w:w="200"/>
              <w:bottom w:type="dxa" w:w="120"/>
              <w:right w:type="dxa" w:w="120"/>
            </w:tcMar>
          </w:tcPr>
          <w:p>
            <w:pPr>
              <w:spacing w:after="60"/>
            </w:pPr>
            <w:r>
              <w:rPr>
                <w:rFonts w:ascii="Arial" w:cs="Arial" w:eastAsia="Arial" w:hAnsi="Arial"/>
                <w:b/>
                <w:bCs/>
                <w:color w:val="17375E"/>
                <w:sz w:val="22"/>
                <w:szCs w:val="22"/>
              </w:rPr>
              <w:t xml:space="preserve">Produced by:</w:t>
            </w:r>
          </w:p>
          <w:p>
            <w:pPr>
              <w:spacing w:before="0" w:after="0"/>
            </w:pPr>
            <w:r>
              <w:rPr>
                <w:rFonts w:ascii="Arial" w:cs="Arial" w:eastAsia="Arial" w:hAnsi="Arial"/>
                <w:sz w:val="21"/>
                <w:szCs w:val="21"/>
              </w:rPr>
              <w:t xml:space="preserve">Cell 4  |  Consumed by: Cell 5</w:t>
            </w:r>
          </w:p>
        </w:tc>
      </w:tr>
    </w:tbl>
    <w:p>
      <w:pPr>
        <w:spacing w:before="40" w:after="40"/>
      </w:pPr>
      <w:r>
        <w:t xml:space="preserve"/>
      </w:r>
    </w:p>
    <w:p>
      <w:pPr>
        <w:spacing w:before="80" w:after="80"/>
        <w:jc w:val="left"/>
      </w:pPr>
      <w:r>
        <w:rPr>
          <w:rFonts w:ascii="Arial" w:cs="Arial" w:eastAsia="Arial" w:hAnsi="Arial"/>
          <w:sz w:val="22"/>
          <w:szCs w:val="22"/>
        </w:rPr>
        <w:t xml:space="preserve">This is the expression matrix after full log2 + quantile normalization. This is one of the most mathematically significant files in the pipeline.</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Step 1: Log2 Transformation</w:t>
      </w:r>
    </w:p>
    <w:p>
      <w:pPr>
        <w:spacing w:before="80" w:after="80"/>
        <w:jc w:val="left"/>
      </w:pPr>
      <w:r>
        <w:rPr>
          <w:rFonts w:ascii="Arial" w:cs="Arial" w:eastAsia="Arial" w:hAnsi="Arial"/>
          <w:sz w:val="22"/>
          <w:szCs w:val="22"/>
        </w:rPr>
        <w:t xml:space="preserve">Applied if raw values are not already log-transformed:</w:t>
      </w:r>
    </w:p>
    <w:p>
      <w:pPr>
        <w:spacing w:before="120" w:after="120"/>
        <w:ind w:left="720"/>
        <w:jc w:val="center"/>
      </w:pPr>
      <w:r>
        <w:rPr>
          <w:rFonts w:ascii="Cambria Math" w:cs="Cambria Math" w:eastAsia="Cambria Math" w:hAnsi="Cambria Math"/>
          <w:b/>
          <w:bCs/>
          <w:color w:val="1A5276"/>
          <w:sz w:val="22"/>
          <w:szCs w:val="22"/>
        </w:rPr>
        <w:t xml:space="preserve">x'_{ij} = log₂(x_{ij})</w:t>
      </w:r>
    </w:p>
    <w:p>
      <w:pPr>
        <w:spacing w:before="80" w:after="80"/>
        <w:jc w:val="left"/>
      </w:pPr>
      <w:r>
        <w:rPr>
          <w:rFonts w:ascii="Arial" w:cs="Arial" w:eastAsia="Arial" w:hAnsi="Arial"/>
          <w:sz w:val="22"/>
          <w:szCs w:val="22"/>
        </w:rPr>
        <w:t xml:space="preserve">Purpose: compresses the dynamic range, makes the distribution more symmetric (approximately normal), and ensures that fold changes are additive rather than multiplicative. A gene with expression 1000 vs 500 has logFC = 1; a gene with 100 vs 50 also has logFC = 1 — on the raw scale these look very different.</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Step 2: Quantile Normalization</w:t>
      </w:r>
    </w:p>
    <w:p>
      <w:pPr>
        <w:spacing w:before="80" w:after="80"/>
        <w:jc w:val="left"/>
      </w:pPr>
      <w:r>
        <w:rPr>
          <w:rFonts w:ascii="Arial" w:cs="Arial" w:eastAsia="Arial" w:hAnsi="Arial"/>
          <w:sz w:val="22"/>
          <w:szCs w:val="22"/>
        </w:rPr>
        <w:t xml:space="preserve">Quantile normalization makes the empirical distribution of expression values identical across all samples. The algorithm:</w:t>
      </w:r>
    </w:p>
    <w:p>
      <w:pPr>
        <w:pStyle w:val="ListParagraph"/>
        <w:numPr>
          <w:ilvl w:val="0"/>
          <w:numId w:val="3"/>
        </w:numPr>
        <w:spacing w:before="60" w:after="60"/>
      </w:pPr>
      <w:r>
        <w:rPr>
          <w:rFonts w:ascii="Arial" w:cs="Arial" w:eastAsia="Arial" w:hAnsi="Arial"/>
          <w:sz w:val="22"/>
          <w:szCs w:val="22"/>
        </w:rPr>
        <w:t xml:space="preserve">Sort the values in each sample (column) independently.</w:t>
      </w:r>
    </w:p>
    <w:p>
      <w:pPr>
        <w:pStyle w:val="ListParagraph"/>
        <w:numPr>
          <w:ilvl w:val="0"/>
          <w:numId w:val="3"/>
        </w:numPr>
        <w:spacing w:before="60" w:after="60"/>
      </w:pPr>
      <w:r>
        <w:rPr>
          <w:rFonts w:ascii="Arial" w:cs="Arial" w:eastAsia="Arial" w:hAnsi="Arial"/>
          <w:sz w:val="22"/>
          <w:szCs w:val="22"/>
        </w:rPr>
        <w:t xml:space="preserve">Compute the mean of each rank across all samples: mean_rank_r = mean of the r-th sorted value across all samples.</w:t>
      </w:r>
    </w:p>
    <w:p>
      <w:pPr>
        <w:pStyle w:val="ListParagraph"/>
        <w:numPr>
          <w:ilvl w:val="0"/>
          <w:numId w:val="3"/>
        </w:numPr>
        <w:spacing w:before="60" w:after="60"/>
      </w:pPr>
      <w:r>
        <w:rPr>
          <w:rFonts w:ascii="Arial" w:cs="Arial" w:eastAsia="Arial" w:hAnsi="Arial"/>
          <w:sz w:val="22"/>
          <w:szCs w:val="22"/>
        </w:rPr>
        <w:t xml:space="preserve">Replace each value with the mean of its rank.</w:t>
      </w:r>
    </w:p>
    <w:p>
      <w:pPr>
        <w:pStyle w:val="ListParagraph"/>
        <w:numPr>
          <w:ilvl w:val="0"/>
          <w:numId w:val="3"/>
        </w:numPr>
        <w:spacing w:before="60" w:after="60"/>
      </w:pPr>
      <w:r>
        <w:rPr>
          <w:rFonts w:ascii="Arial" w:cs="Arial" w:eastAsia="Arial" w:hAnsi="Arial"/>
          <w:sz w:val="22"/>
          <w:szCs w:val="22"/>
        </w:rPr>
        <w:t xml:space="preserve">Restore the original order within each sample.</w:t>
      </w:r>
    </w:p>
    <w:p>
      <w:pPr>
        <w:spacing w:before="40" w:after="40"/>
      </w:pPr>
      <w:r>
        <w:t xml:space="preserve"/>
      </w:r>
    </w:p>
    <w:p>
      <w:pPr>
        <w:spacing w:before="80" w:after="80"/>
        <w:jc w:val="left"/>
      </w:pPr>
      <w:r>
        <w:rPr>
          <w:rFonts w:ascii="Arial" w:cs="Arial" w:eastAsia="Arial" w:hAnsi="Arial"/>
          <w:sz w:val="22"/>
          <w:szCs w:val="22"/>
        </w:rPr>
        <w:t xml:space="preserve">Mathematically, after quantile normalization:</w:t>
      </w:r>
    </w:p>
    <w:p>
      <w:pPr>
        <w:spacing w:before="120" w:after="120"/>
        <w:ind w:left="720"/>
        <w:jc w:val="center"/>
      </w:pPr>
      <w:r>
        <w:rPr>
          <w:rFonts w:ascii="Cambria Math" w:cs="Cambria Math" w:eastAsia="Cambria Math" w:hAnsi="Cambria Math"/>
          <w:b/>
          <w:bCs/>
          <w:color w:val="1A5276"/>
          <w:sz w:val="22"/>
          <w:szCs w:val="22"/>
        </w:rPr>
        <w:t xml:space="preserve">Fˆ₁(x) = Fˆ₂(x) = ... = Fˆₛ(x) = Fˆ(x)</w:t>
      </w:r>
    </w:p>
    <w:p>
      <w:pPr>
        <w:spacing w:before="80" w:after="80"/>
        <w:jc w:val="left"/>
      </w:pPr>
      <w:r>
        <w:rPr>
          <w:rFonts w:ascii="Arial" w:cs="Arial" w:eastAsia="Arial" w:hAnsi="Arial"/>
          <w:sz w:val="22"/>
          <w:szCs w:val="22"/>
        </w:rPr>
        <w:t xml:space="preserve">where Fˆₖ(x) is the empirical CDF of sample k. All samples now share a common distribution. This removes systematic technical biases introduced by:</w:t>
      </w:r>
    </w:p>
    <w:p>
      <w:pPr>
        <w:pStyle w:val="ListParagraph"/>
        <w:numPr>
          <w:ilvl w:val="0"/>
          <w:numId w:val="2"/>
        </w:numPr>
        <w:spacing w:before="60" w:after="60"/>
      </w:pPr>
      <w:r>
        <w:rPr>
          <w:rFonts w:ascii="Arial" w:cs="Arial" w:eastAsia="Arial" w:hAnsi="Arial"/>
          <w:sz w:val="22"/>
          <w:szCs w:val="22"/>
        </w:rPr>
        <w:t xml:space="preserve">Batch effects (samples processed on different days)</w:t>
      </w:r>
    </w:p>
    <w:p>
      <w:pPr>
        <w:pStyle w:val="ListParagraph"/>
        <w:numPr>
          <w:ilvl w:val="0"/>
          <w:numId w:val="2"/>
        </w:numPr>
        <w:spacing w:before="60" w:after="60"/>
      </w:pPr>
      <w:r>
        <w:rPr>
          <w:rFonts w:ascii="Arial" w:cs="Arial" w:eastAsia="Arial" w:hAnsi="Arial"/>
          <w:sz w:val="22"/>
          <w:szCs w:val="22"/>
        </w:rPr>
        <w:t xml:space="preserve">Scanner calibration differences</w:t>
      </w:r>
    </w:p>
    <w:p>
      <w:pPr>
        <w:pStyle w:val="ListParagraph"/>
        <w:numPr>
          <w:ilvl w:val="0"/>
          <w:numId w:val="2"/>
        </w:numPr>
        <w:spacing w:before="60" w:after="60"/>
      </w:pPr>
      <w:r>
        <w:rPr>
          <w:rFonts w:ascii="Arial" w:cs="Arial" w:eastAsia="Arial" w:hAnsi="Arial"/>
          <w:sz w:val="22"/>
          <w:szCs w:val="22"/>
        </w:rPr>
        <w:t xml:space="preserve">Differences in sample quality or labelling efficiency</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sklearn implementation detail</w:t>
      </w:r>
    </w:p>
    <w:p>
      <w:pPr>
        <w:spacing w:before="80" w:after="80"/>
        <w:jc w:val="left"/>
      </w:pPr>
      <w:r>
        <w:rPr>
          <w:rFonts w:ascii="Arial" w:cs="Arial" w:eastAsia="Arial" w:hAnsi="Arial"/>
          <w:sz w:val="22"/>
          <w:szCs w:val="22"/>
        </w:rPr>
        <w:t xml:space="preserve">The pipeline uses sklearn's quantile_transform with n_quantiles = min(50, n_probes). Using too many quantiles with small sample sizes introduces noise. The axis=0 argument normalizes across samples (columns), which is the correct direction for expression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18"/>
              <w:bottom w:val="single" w:color="2E86C1" w:sz="6"/>
              <w:right w:val="single" w:color="2E86C1" w:sz="6"/>
            </w:tcBorders>
            <w:shd w:fill="EBF5FB" w:val="clear"/>
            <w:tcMar>
              <w:top w:type="dxa" w:w="120"/>
              <w:left w:type="dxa" w:w="200"/>
              <w:bottom w:type="dxa" w:w="120"/>
              <w:right w:type="dxa" w:w="120"/>
            </w:tcMar>
          </w:tcPr>
          <w:p>
            <w:pPr>
              <w:spacing w:after="60"/>
            </w:pPr>
            <w:r>
              <w:rPr>
                <w:rFonts w:ascii="Arial" w:cs="Arial" w:eastAsia="Arial" w:hAnsi="Arial"/>
                <w:b/>
                <w:bCs/>
                <w:color w:val="17375E"/>
                <w:sz w:val="22"/>
                <w:szCs w:val="22"/>
              </w:rPr>
              <w:t xml:space="preserve">Why this matters:</w:t>
            </w:r>
          </w:p>
          <w:p>
            <w:pPr>
              <w:spacing w:before="0" w:after="0"/>
            </w:pPr>
            <w:r>
              <w:rPr>
                <w:rFonts w:ascii="Arial" w:cs="Arial" w:eastAsia="Arial" w:hAnsi="Arial"/>
                <w:sz w:val="21"/>
                <w:szCs w:val="21"/>
              </w:rPr>
              <w:t xml:space="preserve">Without normalization, a sample with systematically higher fluorescence (due to labelling or technical artefacts) would appear to express all genes more highly. This would confound the classifier, making technical variation look like biological signal.</w:t>
            </w:r>
          </w:p>
        </w:tc>
      </w:tr>
    </w:tbl>
    <w:p>
      <w:pPr>
        <w:spacing w:before="40" w:after="40"/>
      </w:pPr>
      <w:r>
        <w:t xml:space="preserve"/>
      </w:r>
    </w:p>
    <w:p>
      <w:r>
        <w:br w:type="page"/>
      </w:r>
    </w:p>
    <w:p>
      <w:pPr>
        <w:pStyle w:val="Heading2"/>
        <w:spacing w:before="360" w:after="160"/>
      </w:pPr>
      <w:r>
        <w:rPr>
          <w:rFonts w:ascii="Arial" w:cs="Arial" w:eastAsia="Arial" w:hAnsi="Arial"/>
          <w:b/>
          <w:bCs/>
          <w:color w:val="2E5FA3"/>
          <w:sz w:val="28"/>
          <w:szCs w:val="28"/>
        </w:rPr>
        <w:t xml:space="preserve">2.5  folder_totalDEG.csv  — Filtered Differentially Expressed Genes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18"/>
              <w:bottom w:val="single" w:color="2E86C1" w:sz="6"/>
              <w:right w:val="single" w:color="2E86C1" w:sz="6"/>
            </w:tcBorders>
            <w:shd w:fill="EBF5FB" w:val="clear"/>
            <w:tcMar>
              <w:top w:type="dxa" w:w="120"/>
              <w:left w:type="dxa" w:w="200"/>
              <w:bottom w:type="dxa" w:w="120"/>
              <w:right w:type="dxa" w:w="120"/>
            </w:tcMar>
          </w:tcPr>
          <w:p>
            <w:pPr>
              <w:spacing w:after="60"/>
            </w:pPr>
            <w:r>
              <w:rPr>
                <w:rFonts w:ascii="Arial" w:cs="Arial" w:eastAsia="Arial" w:hAnsi="Arial"/>
                <w:b/>
                <w:bCs/>
                <w:color w:val="17375E"/>
                <w:sz w:val="22"/>
                <w:szCs w:val="22"/>
              </w:rPr>
              <w:t xml:space="preserve">Produced by:</w:t>
            </w:r>
          </w:p>
          <w:p>
            <w:pPr>
              <w:spacing w:before="0" w:after="0"/>
            </w:pPr>
            <w:r>
              <w:rPr>
                <w:rFonts w:ascii="Arial" w:cs="Arial" w:eastAsia="Arial" w:hAnsi="Arial"/>
                <w:sz w:val="21"/>
                <w:szCs w:val="21"/>
              </w:rPr>
              <w:t xml:space="preserve">Cell 3  |  Consumed by: Cell 5</w:t>
            </w:r>
          </w:p>
        </w:tc>
      </w:tr>
    </w:tbl>
    <w:p>
      <w:pPr>
        <w:spacing w:before="40" w:after="40"/>
      </w:pPr>
      <w:r>
        <w:t xml:space="preserve"/>
      </w:r>
    </w:p>
    <w:p>
      <w:pPr>
        <w:spacing w:before="80" w:after="80"/>
        <w:jc w:val="left"/>
      </w:pPr>
      <w:r>
        <w:rPr>
          <w:rFonts w:ascii="Arial" w:cs="Arial" w:eastAsia="Arial" w:hAnsi="Arial"/>
          <w:sz w:val="22"/>
          <w:szCs w:val="22"/>
        </w:rPr>
        <w:t xml:space="preserve">This file contains only the statistically significant, biologically meaningful differentially expressed genes. It is a filtered and deduplicated subset of the .csv file.</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Filtering Criteria Applied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Filter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Threshold</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Adjusted p-value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adj.P.Val ≤ 0.05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Controls FDR at 5%. Gene is statistically significant.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Log fold change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|logFC| ≥ 1</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At least 2-fold change. Gene is biologically meaningful.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Has gene symbol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Gene.symbol not NaN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Must be a named gene. Removes uncharacterized probes.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Best probe per gene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Lowest adj.P.Val</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Deduplicate: one representative probe per gene symbol.</w:t>
            </w:r>
          </w:p>
        </w:tc>
      </w:tr>
    </w:tbl>
    <w:p>
      <w:pPr>
        <w:spacing w:before="40" w:after="40"/>
      </w:pPr>
      <w:r>
        <w:t xml:space="preserve"/>
      </w:r>
    </w:p>
    <w:p>
      <w:pPr>
        <w:pStyle w:val="Heading3"/>
        <w:spacing w:before="280" w:after="120"/>
      </w:pPr>
      <w:r>
        <w:rPr>
          <w:rFonts w:ascii="Arial" w:cs="Arial" w:eastAsia="Arial" w:hAnsi="Arial"/>
          <w:b/>
          <w:bCs/>
          <w:color w:val="2F5496"/>
          <w:sz w:val="24"/>
          <w:szCs w:val="24"/>
        </w:rPr>
        <w:t xml:space="preserve">Mathematical Significance of |logFC| ≥ 1</w:t>
      </w:r>
    </w:p>
    <w:p>
      <w:pPr>
        <w:spacing w:before="80" w:after="80"/>
        <w:jc w:val="left"/>
      </w:pPr>
      <w:r>
        <w:rPr>
          <w:rFonts w:ascii="Arial" w:cs="Arial" w:eastAsia="Arial" w:hAnsi="Arial"/>
          <w:sz w:val="22"/>
          <w:szCs w:val="22"/>
        </w:rPr>
        <w:t xml:space="preserve">A threshold of |logFC| ≥ 1 on the log2 scale corresponds to a minimum 2-fold change in linear expression:</w:t>
      </w:r>
    </w:p>
    <w:p>
      <w:pPr>
        <w:spacing w:before="120" w:after="120"/>
        <w:ind w:left="720"/>
        <w:jc w:val="center"/>
      </w:pPr>
      <w:r>
        <w:rPr>
          <w:rFonts w:ascii="Cambria Math" w:cs="Cambria Math" w:eastAsia="Cambria Math" w:hAnsi="Cambria Math"/>
          <w:b/>
          <w:bCs/>
          <w:color w:val="1A5276"/>
          <w:sz w:val="22"/>
          <w:szCs w:val="22"/>
        </w:rPr>
        <w:t xml:space="preserve">|logFC| ≥ 1  ⇔  expression ratio ≥ 2^1 = 2  (or ≤ 2^(-1) = 0.5)</w:t>
      </w:r>
    </w:p>
    <w:p>
      <w:pPr>
        <w:spacing w:before="80" w:after="80"/>
        <w:jc w:val="left"/>
      </w:pPr>
      <w:r>
        <w:rPr>
          <w:rFonts w:ascii="Arial" w:cs="Arial" w:eastAsia="Arial" w:hAnsi="Arial"/>
          <w:sz w:val="22"/>
          <w:szCs w:val="22"/>
        </w:rPr>
        <w:t xml:space="preserve">This is standard in differential expression analysis. Genes with smaller changes (e.g., 1.3-fold) may be statistically significant with large N but are often not biologically actionable. The 2-fold threshold is a pragmatic cutoff balancing sensitivity and specificity.</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Best-Probe Deduplication</w:t>
      </w:r>
    </w:p>
    <w:p>
      <w:pPr>
        <w:spacing w:before="80" w:after="80"/>
        <w:jc w:val="left"/>
      </w:pPr>
      <w:r>
        <w:rPr>
          <w:rFonts w:ascii="Arial" w:cs="Arial" w:eastAsia="Arial" w:hAnsi="Arial"/>
          <w:sz w:val="22"/>
          <w:szCs w:val="22"/>
        </w:rPr>
        <w:t xml:space="preserve">Multiple probes on the array can hybridize to the same gene. We keep only the probe with the smallest adj.P.Val (most significant) per gene:</w:t>
      </w:r>
    </w:p>
    <w:p>
      <w:pPr>
        <w:spacing w:before="120" w:after="120"/>
        <w:ind w:left="720"/>
        <w:jc w:val="center"/>
      </w:pPr>
      <w:r>
        <w:rPr>
          <w:rFonts w:ascii="Cambria Math" w:cs="Cambria Math" w:eastAsia="Cambria Math" w:hAnsi="Cambria Math"/>
          <w:b/>
          <w:bCs/>
          <w:color w:val="1A5276"/>
          <w:sz w:val="22"/>
          <w:szCs w:val="22"/>
        </w:rPr>
        <w:t xml:space="preserve">probe* = argmin_{p ∈ probes(g)} adj.P.Val_p    for each gene g</w:t>
      </w:r>
    </w:p>
    <w:p>
      <w:pPr>
        <w:spacing w:before="80" w:after="80"/>
        <w:jc w:val="left"/>
      </w:pPr>
      <w:r>
        <w:rPr>
          <w:rFonts w:ascii="Arial" w:cs="Arial" w:eastAsia="Arial" w:hAnsi="Arial"/>
          <w:sz w:val="22"/>
          <w:szCs w:val="22"/>
        </w:rPr>
        <w:t xml:space="preserve">This ensures each gene appears exactly once in the feature matrix, preventing artificially correlated features.</w:t>
      </w:r>
    </w:p>
    <w:p>
      <w:pPr>
        <w:spacing w:before="40" w:after="40"/>
      </w:pPr>
      <w:r>
        <w:t xml:space="preserve"/>
      </w:r>
    </w:p>
    <w:p>
      <w:pPr>
        <w:pStyle w:val="Heading2"/>
        <w:spacing w:before="360" w:after="160"/>
      </w:pPr>
      <w:r>
        <w:rPr>
          <w:rFonts w:ascii="Arial" w:cs="Arial" w:eastAsia="Arial" w:hAnsi="Arial"/>
          <w:b/>
          <w:bCs/>
          <w:color w:val="2E5FA3"/>
          <w:sz w:val="28"/>
          <w:szCs w:val="28"/>
        </w:rPr>
        <w:t xml:space="preserve">2.6  folder_merged_file_no_class.csv  — DEG-Expression Merged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18"/>
              <w:bottom w:val="single" w:color="2E86C1" w:sz="6"/>
              <w:right w:val="single" w:color="2E86C1" w:sz="6"/>
            </w:tcBorders>
            <w:shd w:fill="EBF5FB" w:val="clear"/>
            <w:tcMar>
              <w:top w:type="dxa" w:w="120"/>
              <w:left w:type="dxa" w:w="200"/>
              <w:bottom w:type="dxa" w:w="120"/>
              <w:right w:type="dxa" w:w="120"/>
            </w:tcMar>
          </w:tcPr>
          <w:p>
            <w:pPr>
              <w:spacing w:after="60"/>
            </w:pPr>
            <w:r>
              <w:rPr>
                <w:rFonts w:ascii="Arial" w:cs="Arial" w:eastAsia="Arial" w:hAnsi="Arial"/>
                <w:b/>
                <w:bCs/>
                <w:color w:val="17375E"/>
                <w:sz w:val="22"/>
                <w:szCs w:val="22"/>
              </w:rPr>
              <w:t xml:space="preserve">Produced by:</w:t>
            </w:r>
          </w:p>
          <w:p>
            <w:pPr>
              <w:spacing w:before="0" w:after="0"/>
            </w:pPr>
            <w:r>
              <w:rPr>
                <w:rFonts w:ascii="Arial" w:cs="Arial" w:eastAsia="Arial" w:hAnsi="Arial"/>
                <w:sz w:val="21"/>
                <w:szCs w:val="21"/>
              </w:rPr>
              <w:t xml:space="preserve">Cell 5  |  Consumed by: Cell 6</w:t>
            </w:r>
          </w:p>
        </w:tc>
      </w:tr>
    </w:tbl>
    <w:p>
      <w:pPr>
        <w:spacing w:before="40" w:after="40"/>
      </w:pPr>
      <w:r>
        <w:t xml:space="preserve"/>
      </w:r>
    </w:p>
    <w:p>
      <w:pPr>
        <w:spacing w:before="80" w:after="80"/>
        <w:jc w:val="left"/>
      </w:pPr>
      <w:r>
        <w:rPr>
          <w:rFonts w:ascii="Arial" w:cs="Arial" w:eastAsia="Arial" w:hAnsi="Arial"/>
          <w:sz w:val="22"/>
          <w:szCs w:val="22"/>
        </w:rPr>
        <w:t xml:space="preserve">This file merges the totalDEG probe list (rows) with the normalized expression matrix (rows) by probe ID. The result is a table where:</w:t>
      </w:r>
    </w:p>
    <w:p>
      <w:pPr>
        <w:pStyle w:val="ListParagraph"/>
        <w:numPr>
          <w:ilvl w:val="0"/>
          <w:numId w:val="2"/>
        </w:numPr>
        <w:spacing w:before="60" w:after="60"/>
      </w:pPr>
      <w:r>
        <w:rPr>
          <w:rFonts w:ascii="Arial" w:cs="Arial" w:eastAsia="Arial" w:hAnsi="Arial"/>
          <w:sz w:val="22"/>
          <w:szCs w:val="22"/>
        </w:rPr>
        <w:t xml:space="preserve">Rows: DEG probes only (the significant genes)</w:t>
      </w:r>
    </w:p>
    <w:p>
      <w:pPr>
        <w:pStyle w:val="ListParagraph"/>
        <w:numPr>
          <w:ilvl w:val="0"/>
          <w:numId w:val="2"/>
        </w:numPr>
        <w:spacing w:before="60" w:after="60"/>
      </w:pPr>
      <w:r>
        <w:rPr>
          <w:rFonts w:ascii="Arial" w:cs="Arial" w:eastAsia="Arial" w:hAnsi="Arial"/>
          <w:sz w:val="22"/>
          <w:szCs w:val="22"/>
        </w:rPr>
        <w:t xml:space="preserve">Columns: Gene.symbol + all sample expression values</w:t>
      </w:r>
    </w:p>
    <w:p>
      <w:pPr>
        <w:pStyle w:val="ListParagraph"/>
        <w:numPr>
          <w:ilvl w:val="0"/>
          <w:numId w:val="2"/>
        </w:numPr>
        <w:spacing w:before="60" w:after="60"/>
      </w:pPr>
      <w:r>
        <w:rPr>
          <w:rFonts w:ascii="Arial" w:cs="Arial" w:eastAsia="Arial" w:hAnsi="Arial"/>
          <w:sz w:val="22"/>
          <w:szCs w:val="22"/>
        </w:rPr>
        <w:t xml:space="preserve">Columns dropped: adj.P.Val, P.Value, t, B, logFC, Gene.title (statistical metadata no longer needed)</w:t>
      </w:r>
    </w:p>
    <w:p>
      <w:pPr>
        <w:spacing w:before="40" w:after="40"/>
      </w:pPr>
      <w:r>
        <w:t xml:space="preserve"/>
      </w:r>
    </w:p>
    <w:p>
      <w:pPr>
        <w:spacing w:before="80" w:after="80"/>
        <w:jc w:val="left"/>
      </w:pPr>
      <w:r>
        <w:rPr>
          <w:rFonts w:ascii="Arial" w:cs="Arial" w:eastAsia="Arial" w:hAnsi="Arial"/>
          <w:sz w:val="22"/>
          <w:szCs w:val="22"/>
        </w:rPr>
        <w:t xml:space="preserve">This is the first file where expression values are co-located with gene identifiers. The shape is typically:</w:t>
      </w:r>
    </w:p>
    <w:p>
      <w:pPr>
        <w:spacing w:before="120" w:after="120"/>
        <w:ind w:left="720"/>
        <w:jc w:val="center"/>
      </w:pPr>
      <w:r>
        <w:rPr>
          <w:rFonts w:ascii="Cambria Math" w:cs="Cambria Math" w:eastAsia="Cambria Math" w:hAnsi="Cambria Math"/>
          <w:b/>
          <w:bCs/>
          <w:color w:val="1A5276"/>
          <w:sz w:val="22"/>
          <w:szCs w:val="22"/>
        </w:rPr>
        <w:t xml:space="preserve">Shape: (Gₜᵒₜᵃᴸ) × (S + 1)    where Gₜᵒₜᵃᴸ = number of DEGs, S = number of samples</w:t>
      </w:r>
    </w:p>
    <w:p>
      <w:pPr>
        <w:spacing w:before="40" w:after="40"/>
      </w:pPr>
      <w:r>
        <w:t xml:space="preserve"/>
      </w:r>
    </w:p>
    <w:p>
      <w:pPr>
        <w:pStyle w:val="Heading2"/>
        <w:spacing w:before="360" w:after="160"/>
      </w:pPr>
      <w:r>
        <w:rPr>
          <w:rFonts w:ascii="Arial" w:cs="Arial" w:eastAsia="Arial" w:hAnsi="Arial"/>
          <w:b/>
          <w:bCs/>
          <w:color w:val="2E5FA3"/>
          <w:sz w:val="28"/>
          <w:szCs w:val="28"/>
        </w:rPr>
        <w:t xml:space="preserve">2.7  folder_merged_transposed.csv  — Transposed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18"/>
              <w:bottom w:val="single" w:color="2E86C1" w:sz="6"/>
              <w:right w:val="single" w:color="2E86C1" w:sz="6"/>
            </w:tcBorders>
            <w:shd w:fill="EBF5FB" w:val="clear"/>
            <w:tcMar>
              <w:top w:type="dxa" w:w="120"/>
              <w:left w:type="dxa" w:w="200"/>
              <w:bottom w:type="dxa" w:w="120"/>
              <w:right w:type="dxa" w:w="120"/>
            </w:tcMar>
          </w:tcPr>
          <w:p>
            <w:pPr>
              <w:spacing w:after="60"/>
            </w:pPr>
            <w:r>
              <w:rPr>
                <w:rFonts w:ascii="Arial" w:cs="Arial" w:eastAsia="Arial" w:hAnsi="Arial"/>
                <w:b/>
                <w:bCs/>
                <w:color w:val="17375E"/>
                <w:sz w:val="22"/>
                <w:szCs w:val="22"/>
              </w:rPr>
              <w:t xml:space="preserve">Produced by:</w:t>
            </w:r>
          </w:p>
          <w:p>
            <w:pPr>
              <w:spacing w:before="0" w:after="0"/>
            </w:pPr>
            <w:r>
              <w:rPr>
                <w:rFonts w:ascii="Arial" w:cs="Arial" w:eastAsia="Arial" w:hAnsi="Arial"/>
                <w:sz w:val="21"/>
                <w:szCs w:val="21"/>
              </w:rPr>
              <w:t xml:space="preserve">Cell 6  |  Consumed by: Cell 7</w:t>
            </w:r>
          </w:p>
        </w:tc>
      </w:tr>
    </w:tbl>
    <w:p>
      <w:pPr>
        <w:spacing w:before="40" w:after="40"/>
      </w:pPr>
      <w:r>
        <w:t xml:space="preserve"/>
      </w:r>
    </w:p>
    <w:p>
      <w:pPr>
        <w:spacing w:before="80" w:after="80"/>
        <w:jc w:val="left"/>
      </w:pPr>
      <w:r>
        <w:rPr>
          <w:rFonts w:ascii="Arial" w:cs="Arial" w:eastAsia="Arial" w:hAnsi="Arial"/>
          <w:sz w:val="22"/>
          <w:szCs w:val="22"/>
        </w:rPr>
        <w:t xml:space="preserve">The matrix is transposed from probe-centric to sample-centric format:</w:t>
      </w:r>
    </w:p>
    <w:p>
      <w:pPr>
        <w:spacing w:before="120" w:after="120"/>
        <w:ind w:left="720"/>
        <w:jc w:val="center"/>
      </w:pPr>
      <w:r>
        <w:rPr>
          <w:rFonts w:ascii="Cambria Math" w:cs="Cambria Math" w:eastAsia="Cambria Math" w:hAnsi="Cambria Math"/>
          <w:b/>
          <w:bCs/>
          <w:color w:val="1A5276"/>
          <w:sz w:val="22"/>
          <w:szCs w:val="22"/>
        </w:rPr>
        <w:t xml:space="preserve">Before: rows = genes, columns = samples</w:t>
      </w:r>
    </w:p>
    <w:p>
      <w:pPr>
        <w:spacing w:before="120" w:after="120"/>
        <w:ind w:left="720"/>
        <w:jc w:val="center"/>
      </w:pPr>
      <w:r>
        <w:rPr>
          <w:rFonts w:ascii="Cambria Math" w:cs="Cambria Math" w:eastAsia="Cambria Math" w:hAnsi="Cambria Math"/>
          <w:b/>
          <w:bCs/>
          <w:color w:val="1A5276"/>
          <w:sz w:val="22"/>
          <w:szCs w:val="22"/>
        </w:rPr>
        <w:t xml:space="preserve">After:  rows = samples, columns = genes</w:t>
      </w:r>
    </w:p>
    <w:p>
      <w:pPr>
        <w:spacing w:before="80" w:after="80"/>
        <w:jc w:val="left"/>
      </w:pPr>
      <w:r>
        <w:rPr>
          <w:rFonts w:ascii="Arial" w:cs="Arial" w:eastAsia="Arial" w:hAnsi="Arial"/>
          <w:sz w:val="22"/>
          <w:szCs w:val="22"/>
        </w:rPr>
        <w:t xml:space="preserve">This is the standard convention for machine learning: each row is an observation (patient sample), each column is a feature (gene expression value). The Gene.symbol row becomes the header. The Cell 6 auto-detection scans for the 'Gene.symbol' string to find the correct header row after transposition.</w:t>
      </w:r>
    </w:p>
    <w:p>
      <w:pPr>
        <w:spacing w:before="40" w:after="40"/>
      </w:pPr>
      <w:r>
        <w:t xml:space="preserve"/>
      </w:r>
    </w:p>
    <w:p>
      <w:pPr>
        <w:pStyle w:val="Heading2"/>
        <w:spacing w:before="360" w:after="160"/>
      </w:pPr>
      <w:r>
        <w:rPr>
          <w:rFonts w:ascii="Arial" w:cs="Arial" w:eastAsia="Arial" w:hAnsi="Arial"/>
          <w:b/>
          <w:bCs/>
          <w:color w:val="2E5FA3"/>
          <w:sz w:val="28"/>
          <w:szCs w:val="28"/>
        </w:rPr>
        <w:t xml:space="preserve">2.8  folder_merged_transposed_class_added.csv  — Labeled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18"/>
              <w:bottom w:val="single" w:color="2E86C1" w:sz="6"/>
              <w:right w:val="single" w:color="2E86C1" w:sz="6"/>
            </w:tcBorders>
            <w:shd w:fill="EBF5FB" w:val="clear"/>
            <w:tcMar>
              <w:top w:type="dxa" w:w="120"/>
              <w:left w:type="dxa" w:w="200"/>
              <w:bottom w:type="dxa" w:w="120"/>
              <w:right w:type="dxa" w:w="120"/>
            </w:tcMar>
          </w:tcPr>
          <w:p>
            <w:pPr>
              <w:spacing w:after="60"/>
            </w:pPr>
            <w:r>
              <w:rPr>
                <w:rFonts w:ascii="Arial" w:cs="Arial" w:eastAsia="Arial" w:hAnsi="Arial"/>
                <w:b/>
                <w:bCs/>
                <w:color w:val="17375E"/>
                <w:sz w:val="22"/>
                <w:szCs w:val="22"/>
              </w:rPr>
              <w:t xml:space="preserve">Produced by:</w:t>
            </w:r>
          </w:p>
          <w:p>
            <w:pPr>
              <w:spacing w:before="0" w:after="0"/>
            </w:pPr>
            <w:r>
              <w:rPr>
                <w:rFonts w:ascii="Arial" w:cs="Arial" w:eastAsia="Arial" w:hAnsi="Arial"/>
                <w:sz w:val="21"/>
                <w:szCs w:val="21"/>
              </w:rPr>
              <w:t xml:space="preserve">Cell 7  |  Consumed by: Cell 8</w:t>
            </w:r>
          </w:p>
        </w:tc>
      </w:tr>
    </w:tbl>
    <w:p>
      <w:pPr>
        <w:spacing w:before="40" w:after="40"/>
      </w:pPr>
      <w:r>
        <w:t xml:space="preserve"/>
      </w:r>
    </w:p>
    <w:p>
      <w:pPr>
        <w:spacing w:before="80" w:after="80"/>
        <w:jc w:val="left"/>
      </w:pPr>
      <w:r>
        <w:rPr>
          <w:rFonts w:ascii="Arial" w:cs="Arial" w:eastAsia="Arial" w:hAnsi="Arial"/>
          <w:sz w:val="22"/>
          <w:szCs w:val="22"/>
        </w:rPr>
        <w:t xml:space="preserve">Class labels from tableDEG.csv are merged in. The final column is CLASS (0 or 1). This is the complete, labeled dataset ready for machine learning:</w:t>
      </w:r>
    </w:p>
    <w:p>
      <w:pPr>
        <w:spacing w:before="120" w:after="120"/>
        <w:ind w:left="720"/>
        <w:jc w:val="center"/>
      </w:pPr>
      <w:r>
        <w:rPr>
          <w:rFonts w:ascii="Cambria Math" w:cs="Cambria Math" w:eastAsia="Cambria Math" w:hAnsi="Cambria Math"/>
          <w:b/>
          <w:bCs/>
          <w:color w:val="1A5276"/>
          <w:sz w:val="22"/>
          <w:szCs w:val="22"/>
        </w:rPr>
        <w:t xml:space="preserve">Shape: S × (Gₜᵒₜᵃᴸ + 1)    (+1 for CLASS column)</w:t>
      </w:r>
    </w:p>
    <w:p>
      <w:pPr>
        <w:spacing w:before="80" w:after="80"/>
        <w:jc w:val="left"/>
      </w:pPr>
      <w:r>
        <w:rPr>
          <w:rFonts w:ascii="Arial" w:cs="Arial" w:eastAsia="Arial" w:hAnsi="Arial"/>
          <w:sz w:val="22"/>
          <w:szCs w:val="22"/>
        </w:rPr>
        <w:t xml:space="preserve">Each row represents one patient. Columns represent expression values of significant genes, plus the class label.</w:t>
      </w:r>
    </w:p>
    <w:p>
      <w:r>
        <w:br w:type="page"/>
      </w:r>
    </w:p>
    <w:p>
      <w:pPr>
        <w:pStyle w:val="Heading1"/>
        <w:pBdr>
          <w:bottom w:val="single" w:color="2E5FA3" w:sz="8" w:space="4"/>
        </w:pBdr>
        <w:spacing w:before="480" w:after="200"/>
      </w:pPr>
      <w:r>
        <w:rPr>
          <w:rFonts w:ascii="Arial" w:cs="Arial" w:eastAsia="Arial" w:hAnsi="Arial"/>
          <w:b/>
          <w:bCs/>
          <w:color w:val="1F3864"/>
          <w:sz w:val="36"/>
          <w:szCs w:val="36"/>
        </w:rPr>
        <w:t xml:space="preserve">3. Feature Selection Output Files</w:t>
      </w:r>
    </w:p>
    <w:p>
      <w:pPr>
        <w:pStyle w:val="Heading2"/>
        <w:spacing w:before="360" w:after="160"/>
      </w:pPr>
      <w:r>
        <w:rPr>
          <w:rFonts w:ascii="Arial" w:cs="Arial" w:eastAsia="Arial" w:hAnsi="Arial"/>
          <w:b/>
          <w:bCs/>
          <w:color w:val="2E5FA3"/>
          <w:sz w:val="28"/>
          <w:szCs w:val="28"/>
        </w:rPr>
        <w:t xml:space="preserve">3.1  folder_selected_features_with_class.csv  — mRMR Selected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18"/>
              <w:bottom w:val="single" w:color="2E86C1" w:sz="6"/>
              <w:right w:val="single" w:color="2E86C1" w:sz="6"/>
            </w:tcBorders>
            <w:shd w:fill="EBF5FB" w:val="clear"/>
            <w:tcMar>
              <w:top w:type="dxa" w:w="120"/>
              <w:left w:type="dxa" w:w="200"/>
              <w:bottom w:type="dxa" w:w="120"/>
              <w:right w:type="dxa" w:w="120"/>
            </w:tcMar>
          </w:tcPr>
          <w:p>
            <w:pPr>
              <w:spacing w:after="60"/>
            </w:pPr>
            <w:r>
              <w:rPr>
                <w:rFonts w:ascii="Arial" w:cs="Arial" w:eastAsia="Arial" w:hAnsi="Arial"/>
                <w:b/>
                <w:bCs/>
                <w:color w:val="17375E"/>
                <w:sz w:val="22"/>
                <w:szCs w:val="22"/>
              </w:rPr>
              <w:t xml:space="preserve">Produced by:</w:t>
            </w:r>
          </w:p>
          <w:p>
            <w:pPr>
              <w:spacing w:before="0" w:after="0"/>
            </w:pPr>
            <w:r>
              <w:rPr>
                <w:rFonts w:ascii="Arial" w:cs="Arial" w:eastAsia="Arial" w:hAnsi="Arial"/>
                <w:sz w:val="21"/>
                <w:szCs w:val="21"/>
              </w:rPr>
              <w:t xml:space="preserve">Cell 8 (mRMR)  |  Consumed by: Cell 9 (SVM-RFE)</w:t>
            </w:r>
          </w:p>
        </w:tc>
      </w:tr>
    </w:tbl>
    <w:p>
      <w:pPr>
        <w:spacing w:before="40" w:after="40"/>
      </w:pPr>
      <w:r>
        <w:t xml:space="preserve"/>
      </w:r>
    </w:p>
    <w:p>
      <w:pPr>
        <w:spacing w:before="80" w:after="80"/>
        <w:jc w:val="left"/>
      </w:pPr>
      <w:r>
        <w:rPr>
          <w:rFonts w:ascii="Arial" w:cs="Arial" w:eastAsia="Arial" w:hAnsi="Arial"/>
          <w:sz w:val="22"/>
          <w:szCs w:val="22"/>
        </w:rPr>
        <w:t xml:space="preserve">Contains the top 80% of genes ranked by mutual information score. This reduces the feature space before the computationally expensive SVM-RFE step.</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Mathematical Foundation: Mutual Information</w:t>
      </w:r>
    </w:p>
    <w:p>
      <w:pPr>
        <w:spacing w:before="80" w:after="80"/>
        <w:jc w:val="left"/>
      </w:pPr>
      <w:r>
        <w:rPr>
          <w:rFonts w:ascii="Arial" w:cs="Arial" w:eastAsia="Arial" w:hAnsi="Arial"/>
          <w:sz w:val="22"/>
          <w:szCs w:val="22"/>
        </w:rPr>
        <w:t xml:space="preserve">Mutual information I(X; Y) measures the statistical dependence between gene expression X and class label Y:</w:t>
      </w:r>
    </w:p>
    <w:p>
      <w:pPr>
        <w:spacing w:before="120" w:after="120"/>
        <w:ind w:left="720"/>
        <w:jc w:val="center"/>
      </w:pPr>
      <w:r>
        <w:rPr>
          <w:rFonts w:ascii="Cambria Math" w:cs="Cambria Math" w:eastAsia="Cambria Math" w:hAnsi="Cambria Math"/>
          <w:b/>
          <w:bCs/>
          <w:color w:val="1A5276"/>
          <w:sz w:val="22"/>
          <w:szCs w:val="22"/>
        </w:rPr>
        <w:t xml:space="preserve">I(X; Y) = Σₓ Σᵧ P(x, y) × log[ P(x, y) / (P(x) × P(y)) ]</w:t>
      </w:r>
    </w:p>
    <w:p>
      <w:pPr>
        <w:spacing w:before="80" w:after="80"/>
        <w:jc w:val="left"/>
      </w:pPr>
      <w:r>
        <w:rPr>
          <w:rFonts w:ascii="Arial" w:cs="Arial" w:eastAsia="Arial" w:hAnsi="Arial"/>
          <w:sz w:val="22"/>
          <w:szCs w:val="22"/>
        </w:rPr>
        <w:t xml:space="preserve">For continuous X (expression values) and discrete Y (class label), sklearn uses a k-nearest-neighbors estimator of MI:</w:t>
      </w:r>
    </w:p>
    <w:p>
      <w:pPr>
        <w:spacing w:before="120" w:after="120"/>
        <w:ind w:left="720"/>
        <w:jc w:val="center"/>
      </w:pPr>
      <w:r>
        <w:rPr>
          <w:rFonts w:ascii="Cambria Math" w:cs="Cambria Math" w:eastAsia="Cambria Math" w:hAnsi="Cambria Math"/>
          <w:b/>
          <w:bCs/>
          <w:color w:val="1A5276"/>
          <w:sz w:val="22"/>
          <w:szCs w:val="22"/>
        </w:rPr>
        <w:t xml:space="preserve">Î(X; Y) = ψ(k) + ψ(n) − ⟨ψ(nₓ)⟩ − ⟨ψ(nᵧ)⟩</w:t>
      </w:r>
    </w:p>
    <w:p>
      <w:pPr>
        <w:spacing w:before="80" w:after="80"/>
        <w:jc w:val="left"/>
      </w:pPr>
      <w:r>
        <w:rPr>
          <w:rFonts w:ascii="Arial" w:cs="Arial" w:eastAsia="Arial" w:hAnsi="Arial"/>
          <w:sz w:val="22"/>
          <w:szCs w:val="22"/>
        </w:rPr>
        <w:t xml:space="preserve">where ψ is the digamma function and nₓ, nᵧ are counts of nearest neighbors in the respective marginal spaces (Kraskov estimator).</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Properties of Mutual Information</w:t>
      </w:r>
    </w:p>
    <w:p>
      <w:pPr>
        <w:pStyle w:val="ListParagraph"/>
        <w:numPr>
          <w:ilvl w:val="0"/>
          <w:numId w:val="2"/>
        </w:numPr>
        <w:spacing w:before="60" w:after="60"/>
      </w:pPr>
      <w:r>
        <w:rPr>
          <w:rFonts w:ascii="Arial" w:cs="Arial" w:eastAsia="Arial" w:hAnsi="Arial"/>
          <w:sz w:val="22"/>
          <w:szCs w:val="22"/>
        </w:rPr>
        <w:t xml:space="preserve">I(X; Y) ≥ 0 always (non-negative)</w:t>
      </w:r>
    </w:p>
    <w:p>
      <w:pPr>
        <w:pStyle w:val="ListParagraph"/>
        <w:numPr>
          <w:ilvl w:val="0"/>
          <w:numId w:val="2"/>
        </w:numPr>
        <w:spacing w:before="60" w:after="60"/>
      </w:pPr>
      <w:r>
        <w:rPr>
          <w:rFonts w:ascii="Arial" w:cs="Arial" w:eastAsia="Arial" w:hAnsi="Arial"/>
          <w:sz w:val="22"/>
          <w:szCs w:val="22"/>
        </w:rPr>
        <w:t xml:space="preserve">I(X; Y) = 0 if and only if X and Y are statistically independent</w:t>
      </w:r>
    </w:p>
    <w:p>
      <w:pPr>
        <w:pStyle w:val="ListParagraph"/>
        <w:numPr>
          <w:ilvl w:val="0"/>
          <w:numId w:val="2"/>
        </w:numPr>
        <w:spacing w:before="60" w:after="60"/>
      </w:pPr>
      <w:r>
        <w:rPr>
          <w:rFonts w:ascii="Arial" w:cs="Arial" w:eastAsia="Arial" w:hAnsi="Arial"/>
          <w:sz w:val="22"/>
          <w:szCs w:val="22"/>
        </w:rPr>
        <w:t xml:space="preserve">I(X; Y) = H(Y) if X perfectly predicts Y (H = entropy)</w:t>
      </w:r>
    </w:p>
    <w:p>
      <w:pPr>
        <w:pStyle w:val="ListParagraph"/>
        <w:numPr>
          <w:ilvl w:val="0"/>
          <w:numId w:val="2"/>
        </w:numPr>
        <w:spacing w:before="60" w:after="60"/>
      </w:pPr>
      <w:r>
        <w:rPr>
          <w:rFonts w:ascii="Arial" w:cs="Arial" w:eastAsia="Arial" w:hAnsi="Arial"/>
          <w:sz w:val="22"/>
          <w:szCs w:val="22"/>
        </w:rPr>
        <w:t xml:space="preserve">Unlike correlation, MI captures non-linear relationships</w:t>
      </w:r>
    </w:p>
    <w:p>
      <w:pPr>
        <w:pStyle w:val="ListParagraph"/>
        <w:numPr>
          <w:ilvl w:val="0"/>
          <w:numId w:val="2"/>
        </w:numPr>
        <w:spacing w:before="60" w:after="60"/>
      </w:pPr>
      <w:r>
        <w:rPr>
          <w:rFonts w:ascii="Arial" w:cs="Arial" w:eastAsia="Arial" w:hAnsi="Arial"/>
          <w:sz w:val="22"/>
          <w:szCs w:val="22"/>
        </w:rPr>
        <w:t xml:space="preserve">Invariant to monotone transformations of X</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The mRMR Principle (Minimum Redundancy Maximum Relevance)</w:t>
      </w:r>
    </w:p>
    <w:p>
      <w:pPr>
        <w:spacing w:before="80" w:after="80"/>
        <w:jc w:val="left"/>
      </w:pPr>
      <w:r>
        <w:rPr>
          <w:rFonts w:ascii="Arial" w:cs="Arial" w:eastAsia="Arial" w:hAnsi="Arial"/>
          <w:sz w:val="22"/>
          <w:szCs w:val="22"/>
        </w:rPr>
        <w:t xml:space="preserve">The ideal feature set maximizes relevance (MI with class) while minimizing redundancy (MI between features). The mRMR criterion:</w:t>
      </w:r>
    </w:p>
    <w:p>
      <w:pPr>
        <w:spacing w:before="120" w:after="120"/>
        <w:ind w:left="720"/>
        <w:jc w:val="center"/>
      </w:pPr>
      <w:r>
        <w:rPr>
          <w:rFonts w:ascii="Cambria Math" w:cs="Cambria Math" w:eastAsia="Cambria Math" w:hAnsi="Cambria Math"/>
          <w:b/>
          <w:bCs/>
          <w:color w:val="1A5276"/>
          <w:sz w:val="22"/>
          <w:szCs w:val="22"/>
        </w:rPr>
        <w:t xml:space="preserve">mRMR = max_{Xᵢ ∈ F} [ I(Xᵢ; Y) − (1/|S|) Σ_{Xⱼ ∈ S} I(Xᵢ; Xⱼ) ]</w:t>
      </w:r>
    </w:p>
    <w:p>
      <w:pPr>
        <w:spacing w:before="80" w:after="80"/>
        <w:jc w:val="left"/>
      </w:pPr>
      <w:r>
        <w:rPr>
          <w:rFonts w:ascii="Arial" w:cs="Arial" w:eastAsia="Arial" w:hAnsi="Arial"/>
          <w:sz w:val="22"/>
          <w:szCs w:val="22"/>
        </w:rPr>
        <w:t xml:space="preserve">In the pipeline, the full mRMR criterion is approximated by ranking genes by MI score alone (relevance only), then selecting the top 80%. True mRMR would also penalize redundancy between genes. The SVM-RFE stage then implicitly handles redundancy by removing features with low weight in the linear SVM.</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Interpreting the MI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 Score</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MX1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0.2676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Highest: strongest statistical link between MX1 expression and HIV status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HERC5</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0.2657</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Near-identical to MX1; both are top interferon-stimulated genes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IFI27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0.2425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Strong; well-known HIV biomarker in blood transcriptomics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LAMP3</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0.1422</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Moderate; dendritic cell maturation marker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TRABD2A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0.1419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Moderate; less characterized in HIV context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OAS1</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0.1362</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Moderate; antiviral innate immunity, 2'-5' oligoadenylate synthetase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TIMM10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0.1348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Lowest shown; mitochondrial import; less HIV-specific</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18"/>
              <w:bottom w:val="single" w:color="2E86C1" w:sz="6"/>
              <w:right w:val="single" w:color="2E86C1" w:sz="6"/>
            </w:tcBorders>
            <w:shd w:fill="EBF5FB" w:val="clear"/>
            <w:tcMar>
              <w:top w:type="dxa" w:w="120"/>
              <w:left w:type="dxa" w:w="200"/>
              <w:bottom w:type="dxa" w:w="120"/>
              <w:right w:type="dxa" w:w="120"/>
            </w:tcMar>
          </w:tcPr>
          <w:p>
            <w:pPr>
              <w:spacing w:after="60"/>
            </w:pPr>
            <w:r>
              <w:rPr>
                <w:rFonts w:ascii="Arial" w:cs="Arial" w:eastAsia="Arial" w:hAnsi="Arial"/>
                <w:b/>
                <w:bCs/>
                <w:color w:val="17375E"/>
                <w:sz w:val="22"/>
                <w:szCs w:val="22"/>
              </w:rPr>
              <w:t xml:space="preserve">Biological Significance:</w:t>
            </w:r>
          </w:p>
          <w:p>
            <w:pPr>
              <w:spacing w:before="0" w:after="0"/>
            </w:pPr>
            <w:r>
              <w:rPr>
                <w:rFonts w:ascii="Arial" w:cs="Arial" w:eastAsia="Arial" w:hAnsi="Arial"/>
                <w:sz w:val="21"/>
                <w:szCs w:val="21"/>
              </w:rPr>
              <w:t xml:space="preserve">MX1, HERC5, IFI27, and OAS1 are all canonical Type I interferon-stimulated genes (ISGs). HIV infection triggers a massive interferon response, upregulating these genes dramatically. Their high MI scores validate that the pipeline is capturing true biological signal rather than noise.</w:t>
            </w:r>
          </w:p>
        </w:tc>
      </w:tr>
    </w:tbl>
    <w:p>
      <w:pPr>
        <w:spacing w:before="40" w:after="40"/>
      </w:pPr>
      <w:r>
        <w:t xml:space="preserve"/>
      </w:r>
    </w:p>
    <w:p>
      <w:pPr>
        <w:pStyle w:val="Heading2"/>
        <w:spacing w:before="360" w:after="160"/>
      </w:pPr>
      <w:r>
        <w:rPr>
          <w:rFonts w:ascii="Arial" w:cs="Arial" w:eastAsia="Arial" w:hAnsi="Arial"/>
          <w:b/>
          <w:bCs/>
          <w:color w:val="2E5FA3"/>
          <w:sz w:val="28"/>
          <w:szCs w:val="28"/>
        </w:rPr>
        <w:t xml:space="preserve">3.2  folder_selected_N_features_with_scores.csv  — Scored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18"/>
              <w:bottom w:val="single" w:color="2E86C1" w:sz="6"/>
              <w:right w:val="single" w:color="2E86C1" w:sz="6"/>
            </w:tcBorders>
            <w:shd w:fill="EBF5FB" w:val="clear"/>
            <w:tcMar>
              <w:top w:type="dxa" w:w="120"/>
              <w:left w:type="dxa" w:w="200"/>
              <w:bottom w:type="dxa" w:w="120"/>
              <w:right w:type="dxa" w:w="120"/>
            </w:tcMar>
          </w:tcPr>
          <w:p>
            <w:pPr>
              <w:spacing w:after="60"/>
            </w:pPr>
            <w:r>
              <w:rPr>
                <w:rFonts w:ascii="Arial" w:cs="Arial" w:eastAsia="Arial" w:hAnsi="Arial"/>
                <w:b/>
                <w:bCs/>
                <w:color w:val="17375E"/>
                <w:sz w:val="22"/>
                <w:szCs w:val="22"/>
              </w:rPr>
              <w:t xml:space="preserve">Produced by:</w:t>
            </w:r>
          </w:p>
          <w:p>
            <w:pPr>
              <w:spacing w:before="0" w:after="0"/>
            </w:pPr>
            <w:r>
              <w:rPr>
                <w:rFonts w:ascii="Arial" w:cs="Arial" w:eastAsia="Arial" w:hAnsi="Arial"/>
                <w:sz w:val="21"/>
                <w:szCs w:val="21"/>
              </w:rPr>
              <w:t xml:space="preserve">Cell 8  |  Consumed by: analyst/visualization</w:t>
            </w:r>
          </w:p>
        </w:tc>
      </w:tr>
    </w:tbl>
    <w:p>
      <w:pPr>
        <w:spacing w:before="40" w:after="40"/>
      </w:pPr>
      <w:r>
        <w:t xml:space="preserve"/>
      </w:r>
    </w:p>
    <w:p>
      <w:pPr>
        <w:spacing w:before="80" w:after="80"/>
        <w:jc w:val="left"/>
      </w:pPr>
      <w:r>
        <w:rPr>
          <w:rFonts w:ascii="Arial" w:cs="Arial" w:eastAsia="Arial" w:hAnsi="Arial"/>
          <w:sz w:val="22"/>
          <w:szCs w:val="22"/>
        </w:rPr>
        <w:t xml:space="preserve">This is a ranked table of all genes kept by the mRMR step, with their mutual information scores. It serves as a reference document:</w:t>
      </w:r>
    </w:p>
    <w:p>
      <w:pPr>
        <w:pStyle w:val="ListParagraph"/>
        <w:numPr>
          <w:ilvl w:val="0"/>
          <w:numId w:val="2"/>
        </w:numPr>
        <w:spacing w:before="60" w:after="60"/>
      </w:pPr>
      <w:r>
        <w:rPr>
          <w:rFonts w:ascii="Arial" w:cs="Arial" w:eastAsia="Arial" w:hAnsi="Arial"/>
          <w:sz w:val="22"/>
          <w:szCs w:val="22"/>
        </w:rPr>
        <w:t xml:space="preserve">Column 1 — Feature: gene symbol</w:t>
      </w:r>
    </w:p>
    <w:p>
      <w:pPr>
        <w:pStyle w:val="ListParagraph"/>
        <w:numPr>
          <w:ilvl w:val="0"/>
          <w:numId w:val="2"/>
        </w:numPr>
        <w:spacing w:before="60" w:after="60"/>
      </w:pPr>
      <w:r>
        <w:rPr>
          <w:rFonts w:ascii="Arial" w:cs="Arial" w:eastAsia="Arial" w:hAnsi="Arial"/>
          <w:sz w:val="22"/>
          <w:szCs w:val="22"/>
        </w:rPr>
        <w:t xml:space="preserve">Column 2 — Score: MI value</w:t>
      </w:r>
    </w:p>
    <w:p>
      <w:pPr>
        <w:spacing w:before="80" w:after="80"/>
        <w:jc w:val="left"/>
      </w:pPr>
      <w:r>
        <w:rPr>
          <w:rFonts w:ascii="Arial" w:cs="Arial" w:eastAsia="Arial" w:hAnsi="Arial"/>
          <w:sz w:val="22"/>
          <w:szCs w:val="22"/>
        </w:rPr>
        <w:t xml:space="preserve">Sorted descending by score. The number N in the filename equals ceil(total_genes × 0.8). For example, if 150 DEGs were found, N = 120.</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Expected Score Distribution</w:t>
      </w:r>
    </w:p>
    <w:p>
      <w:pPr>
        <w:pStyle w:val="ListParagraph"/>
        <w:numPr>
          <w:ilvl w:val="0"/>
          <w:numId w:val="2"/>
        </w:numPr>
        <w:spacing w:before="60" w:after="60"/>
      </w:pPr>
      <w:r>
        <w:rPr>
          <w:rFonts w:ascii="Arial" w:cs="Arial" w:eastAsia="Arial" w:hAnsi="Arial"/>
          <w:sz w:val="22"/>
          <w:szCs w:val="22"/>
        </w:rPr>
        <w:t xml:space="preserve">Top scores (biological signal): typically 0.15–0.35 for strongly HIV-associated ISGs</w:t>
      </w:r>
    </w:p>
    <w:p>
      <w:pPr>
        <w:pStyle w:val="ListParagraph"/>
        <w:numPr>
          <w:ilvl w:val="0"/>
          <w:numId w:val="2"/>
        </w:numPr>
        <w:spacing w:before="60" w:after="60"/>
      </w:pPr>
      <w:r>
        <w:rPr>
          <w:rFonts w:ascii="Arial" w:cs="Arial" w:eastAsia="Arial" w:hAnsi="Arial"/>
          <w:sz w:val="22"/>
          <w:szCs w:val="22"/>
        </w:rPr>
        <w:t xml:space="preserve">Mid scores (moderate signal): 0.05–0.15 for genes with partial association</w:t>
      </w:r>
    </w:p>
    <w:p>
      <w:pPr>
        <w:pStyle w:val="ListParagraph"/>
        <w:numPr>
          <w:ilvl w:val="0"/>
          <w:numId w:val="2"/>
        </w:numPr>
        <w:spacing w:before="60" w:after="60"/>
      </w:pPr>
      <w:r>
        <w:rPr>
          <w:rFonts w:ascii="Arial" w:cs="Arial" w:eastAsia="Arial" w:hAnsi="Arial"/>
          <w:sz w:val="22"/>
          <w:szCs w:val="22"/>
        </w:rPr>
        <w:t xml:space="preserve">Low scores (near noise): &lt; 0.05 for genes near the cutoff</w:t>
      </w:r>
    </w:p>
    <w:p>
      <w:pPr>
        <w:pStyle w:val="ListParagraph"/>
        <w:numPr>
          <w:ilvl w:val="0"/>
          <w:numId w:val="2"/>
        </w:numPr>
        <w:spacing w:before="60" w:after="60"/>
      </w:pPr>
      <w:r>
        <w:rPr>
          <w:rFonts w:ascii="Arial" w:cs="Arial" w:eastAsia="Arial" w:hAnsi="Arial"/>
          <w:sz w:val="22"/>
          <w:szCs w:val="22"/>
        </w:rPr>
        <w:t xml:space="preserve">The distribution is typically right-skewed: a few genes have very high MI, most have moderate to low</w:t>
      </w:r>
    </w:p>
    <w:p>
      <w:r>
        <w:br w:type="page"/>
      </w:r>
    </w:p>
    <w:p>
      <w:pPr>
        <w:pStyle w:val="Heading1"/>
        <w:pBdr>
          <w:bottom w:val="single" w:color="2E5FA3" w:sz="8" w:space="4"/>
        </w:pBdr>
        <w:spacing w:before="480" w:after="200"/>
      </w:pPr>
      <w:r>
        <w:rPr>
          <w:rFonts w:ascii="Arial" w:cs="Arial" w:eastAsia="Arial" w:hAnsi="Arial"/>
          <w:b/>
          <w:bCs/>
          <w:color w:val="1F3864"/>
          <w:sz w:val="36"/>
          <w:szCs w:val="36"/>
        </w:rPr>
        <w:t xml:space="preserve">4. SVM-RFE Output Files</w:t>
      </w:r>
    </w:p>
    <w:p>
      <w:pPr>
        <w:pStyle w:val="Heading2"/>
        <w:spacing w:before="360" w:after="160"/>
      </w:pPr>
      <w:r>
        <w:rPr>
          <w:rFonts w:ascii="Arial" w:cs="Arial" w:eastAsia="Arial" w:hAnsi="Arial"/>
          <w:b/>
          <w:bCs/>
          <w:color w:val="2E5FA3"/>
          <w:sz w:val="28"/>
          <w:szCs w:val="28"/>
        </w:rPr>
        <w:t xml:space="preserve">4.1  folder_svm_rfe_selected_features.csv  — Final Biomarker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18"/>
              <w:bottom w:val="single" w:color="2E86C1" w:sz="6"/>
              <w:right w:val="single" w:color="2E86C1" w:sz="6"/>
            </w:tcBorders>
            <w:shd w:fill="EBF5FB" w:val="clear"/>
            <w:tcMar>
              <w:top w:type="dxa" w:w="120"/>
              <w:left w:type="dxa" w:w="200"/>
              <w:bottom w:type="dxa" w:w="120"/>
              <w:right w:type="dxa" w:w="120"/>
            </w:tcMar>
          </w:tcPr>
          <w:p>
            <w:pPr>
              <w:spacing w:after="60"/>
            </w:pPr>
            <w:r>
              <w:rPr>
                <w:rFonts w:ascii="Arial" w:cs="Arial" w:eastAsia="Arial" w:hAnsi="Arial"/>
                <w:b/>
                <w:bCs/>
                <w:color w:val="17375E"/>
                <w:sz w:val="22"/>
                <w:szCs w:val="22"/>
              </w:rPr>
              <w:t xml:space="preserve">Produced by:</w:t>
            </w:r>
          </w:p>
          <w:p>
            <w:pPr>
              <w:spacing w:before="0" w:after="0"/>
            </w:pPr>
            <w:r>
              <w:rPr>
                <w:rFonts w:ascii="Arial" w:cs="Arial" w:eastAsia="Arial" w:hAnsi="Arial"/>
                <w:sz w:val="21"/>
                <w:szCs w:val="21"/>
              </w:rPr>
              <w:t xml:space="preserve">Cell 9 (SVM-RFE)  |  This is the FINAL output of the pipeline</w:t>
            </w:r>
          </w:p>
        </w:tc>
      </w:tr>
    </w:tbl>
    <w:p>
      <w:pPr>
        <w:spacing w:before="40" w:after="40"/>
      </w:pPr>
      <w:r>
        <w:t xml:space="preserve"/>
      </w:r>
    </w:p>
    <w:p>
      <w:pPr>
        <w:spacing w:before="80" w:after="80"/>
        <w:jc w:val="left"/>
      </w:pPr>
      <w:r>
        <w:rPr>
          <w:rFonts w:ascii="Arial" w:cs="Arial" w:eastAsia="Arial" w:hAnsi="Arial"/>
          <w:sz w:val="22"/>
          <w:szCs w:val="22"/>
        </w:rPr>
        <w:t xml:space="preserve">This is the most important output file. It contains the minimal set of genes (top 80% of the mRMR selection, so ~64% of original DEGs) that the SVM-RFE algorithm deemed most informative for the linear SVM classifier.</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Mathematical Foundation: Support Vector Machine (SVM)</w:t>
      </w:r>
    </w:p>
    <w:p>
      <w:pPr>
        <w:spacing w:before="80" w:after="80"/>
        <w:jc w:val="left"/>
      </w:pPr>
      <w:r>
        <w:rPr>
          <w:rFonts w:ascii="Arial" w:cs="Arial" w:eastAsia="Arial" w:hAnsi="Arial"/>
          <w:sz w:val="22"/>
          <w:szCs w:val="22"/>
        </w:rPr>
        <w:t xml:space="preserve">A linear SVM finds the hyperplane that maximally separates two classes:</w:t>
      </w:r>
    </w:p>
    <w:p>
      <w:pPr>
        <w:spacing w:before="120" w:after="120"/>
        <w:ind w:left="720"/>
        <w:jc w:val="center"/>
      </w:pPr>
      <w:r>
        <w:rPr>
          <w:rFonts w:ascii="Cambria Math" w:cs="Cambria Math" w:eastAsia="Cambria Math" w:hAnsi="Cambria Math"/>
          <w:b/>
          <w:bCs/>
          <w:color w:val="1A5276"/>
          <w:sz w:val="22"/>
          <w:szCs w:val="22"/>
        </w:rPr>
        <w:t xml:space="preserve">f(x) = wᵀ x + b</w:t>
      </w:r>
    </w:p>
    <w:p>
      <w:pPr>
        <w:spacing w:before="80" w:after="80"/>
        <w:jc w:val="left"/>
      </w:pPr>
      <w:r>
        <w:rPr>
          <w:rFonts w:ascii="Arial" w:cs="Arial" w:eastAsia="Arial" w:hAnsi="Arial"/>
          <w:sz w:val="22"/>
          <w:szCs w:val="22"/>
        </w:rPr>
        <w:t xml:space="preserve">The decision boundary is where f(x) = 0. The optimization problem:</w:t>
      </w:r>
    </w:p>
    <w:p>
      <w:pPr>
        <w:spacing w:before="120" w:after="120"/>
        <w:ind w:left="720"/>
        <w:jc w:val="center"/>
      </w:pPr>
      <w:r>
        <w:rPr>
          <w:rFonts w:ascii="Cambria Math" w:cs="Cambria Math" w:eastAsia="Cambria Math" w:hAnsi="Cambria Math"/>
          <w:b/>
          <w:bCs/>
          <w:color w:val="1A5276"/>
          <w:sz w:val="22"/>
          <w:szCs w:val="22"/>
        </w:rPr>
        <w:t xml:space="preserve">min_{w,b,ξ} (1/2)||w||² + C Σ ξᵢ</w:t>
      </w:r>
    </w:p>
    <w:p>
      <w:pPr>
        <w:spacing w:before="120" w:after="120"/>
        <w:ind w:left="720"/>
        <w:jc w:val="center"/>
      </w:pPr>
      <w:r>
        <w:rPr>
          <w:rFonts w:ascii="Cambria Math" w:cs="Cambria Math" w:eastAsia="Cambria Math" w:hAnsi="Cambria Math"/>
          <w:b/>
          <w:bCs/>
          <w:color w:val="1A5276"/>
          <w:sz w:val="22"/>
          <w:szCs w:val="22"/>
        </w:rPr>
        <w:t xml:space="preserve">subject to: yᵢ(wᵀ xᵢ + b) ≥ 1 − ξᵢ,    ξᵢ ≥ 0</w:t>
      </w:r>
    </w:p>
    <w:p>
      <w:pPr>
        <w:spacing w:before="80" w:after="80"/>
        <w:jc w:val="left"/>
      </w:pPr>
      <w:r>
        <w:rPr>
          <w:rFonts w:ascii="Arial" w:cs="Arial" w:eastAsia="Arial" w:hAnsi="Arial"/>
          <w:sz w:val="22"/>
          <w:szCs w:val="22"/>
        </w:rPr>
        <w:t xml:space="preserve">The weight vector w has one component per feature (gene). The magnitude |wᵢ| indicates how much gene i contributes to the classification boundary. A gene with |wᵢ| ≈ 0 contributes nothing and can be removed.</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The RFE Algorithm</w:t>
      </w:r>
    </w:p>
    <w:p>
      <w:pPr>
        <w:pStyle w:val="ListParagraph"/>
        <w:numPr>
          <w:ilvl w:val="0"/>
          <w:numId w:val="3"/>
        </w:numPr>
        <w:spacing w:before="60" w:after="60"/>
      </w:pPr>
      <w:r>
        <w:rPr>
          <w:rFonts w:ascii="Arial" w:cs="Arial" w:eastAsia="Arial" w:hAnsi="Arial"/>
          <w:sz w:val="22"/>
          <w:szCs w:val="22"/>
        </w:rPr>
        <w:t xml:space="preserve">Train SVM on all remaining features. Get weight vector w.</w:t>
      </w:r>
    </w:p>
    <w:p>
      <w:pPr>
        <w:pStyle w:val="ListParagraph"/>
        <w:numPr>
          <w:ilvl w:val="0"/>
          <w:numId w:val="3"/>
        </w:numPr>
        <w:spacing w:before="60" w:after="60"/>
      </w:pPr>
      <w:r>
        <w:rPr>
          <w:rFonts w:ascii="Arial" w:cs="Arial" w:eastAsia="Arial" w:hAnsi="Arial"/>
          <w:sz w:val="22"/>
          <w:szCs w:val="22"/>
        </w:rPr>
        <w:t xml:space="preserve">Identify the feature with the smallest |wᵢ| (least important to the current boundary).</w:t>
      </w:r>
    </w:p>
    <w:p>
      <w:pPr>
        <w:pStyle w:val="ListParagraph"/>
        <w:numPr>
          <w:ilvl w:val="0"/>
          <w:numId w:val="3"/>
        </w:numPr>
        <w:spacing w:before="60" w:after="60"/>
      </w:pPr>
      <w:r>
        <w:rPr>
          <w:rFonts w:ascii="Arial" w:cs="Arial" w:eastAsia="Arial" w:hAnsi="Arial"/>
          <w:sz w:val="22"/>
          <w:szCs w:val="22"/>
        </w:rPr>
        <w:t xml:space="preserve">Remove that feature.</w:t>
      </w:r>
    </w:p>
    <w:p>
      <w:pPr>
        <w:pStyle w:val="ListParagraph"/>
        <w:numPr>
          <w:ilvl w:val="0"/>
          <w:numId w:val="3"/>
        </w:numPr>
        <w:spacing w:before="60" w:after="60"/>
      </w:pPr>
      <w:r>
        <w:rPr>
          <w:rFonts w:ascii="Arial" w:cs="Arial" w:eastAsia="Arial" w:hAnsi="Arial"/>
          <w:sz w:val="22"/>
          <w:szCs w:val="22"/>
        </w:rPr>
        <w:t xml:space="preserve">Repeat until num_keep features remain.</w:t>
      </w:r>
    </w:p>
    <w:p>
      <w:pPr>
        <w:spacing w:before="40" w:after="40"/>
      </w:pPr>
      <w:r>
        <w:t xml:space="preserve"/>
      </w:r>
    </w:p>
    <w:p>
      <w:pPr>
        <w:spacing w:before="80" w:after="80"/>
        <w:jc w:val="left"/>
      </w:pPr>
      <w:r>
        <w:rPr>
          <w:rFonts w:ascii="Arial" w:cs="Arial" w:eastAsia="Arial" w:hAnsi="Arial"/>
          <w:sz w:val="22"/>
          <w:szCs w:val="22"/>
        </w:rPr>
        <w:t xml:space="preserve">This greedy backward elimination finds a compact feature set that maintains discriminative power. The final selected genes are the ones the SVM 'needed' most to draw the decision boundary between HIV+ and healthy.</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Why SVM-RFE is Effective</w:t>
      </w:r>
    </w:p>
    <w:p>
      <w:pPr>
        <w:pStyle w:val="ListParagraph"/>
        <w:numPr>
          <w:ilvl w:val="0"/>
          <w:numId w:val="2"/>
        </w:numPr>
        <w:spacing w:before="60" w:after="60"/>
      </w:pPr>
      <w:r>
        <w:rPr>
          <w:rFonts w:ascii="Arial" w:cs="Arial" w:eastAsia="Arial" w:hAnsi="Arial"/>
          <w:sz w:val="22"/>
          <w:szCs w:val="22"/>
        </w:rPr>
        <w:t xml:space="preserve">It uses the actual classifier's internal weights, not a proxy metric</w:t>
      </w:r>
    </w:p>
    <w:p>
      <w:pPr>
        <w:pStyle w:val="ListParagraph"/>
        <w:numPr>
          <w:ilvl w:val="0"/>
          <w:numId w:val="2"/>
        </w:numPr>
        <w:spacing w:before="60" w:after="60"/>
      </w:pPr>
      <w:r>
        <w:rPr>
          <w:rFonts w:ascii="Arial" w:cs="Arial" w:eastAsia="Arial" w:hAnsi="Arial"/>
          <w:sz w:val="22"/>
          <w:szCs w:val="22"/>
        </w:rPr>
        <w:t xml:space="preserve">The linear kernel makes weights directly interpretable per gene</w:t>
      </w:r>
    </w:p>
    <w:p>
      <w:pPr>
        <w:pStyle w:val="ListParagraph"/>
        <w:numPr>
          <w:ilvl w:val="0"/>
          <w:numId w:val="2"/>
        </w:numPr>
        <w:spacing w:before="60" w:after="60"/>
      </w:pPr>
      <w:r>
        <w:rPr>
          <w:rFonts w:ascii="Arial" w:cs="Arial" w:eastAsia="Arial" w:hAnsi="Arial"/>
          <w:sz w:val="22"/>
          <w:szCs w:val="22"/>
        </w:rPr>
        <w:t xml:space="preserve">It accounts for feature interactions: a gene may be unimportant alone but critical in combination</w:t>
      </w:r>
    </w:p>
    <w:p>
      <w:pPr>
        <w:pStyle w:val="ListParagraph"/>
        <w:numPr>
          <w:ilvl w:val="0"/>
          <w:numId w:val="2"/>
        </w:numPr>
        <w:spacing w:before="60" w:after="60"/>
      </w:pPr>
      <w:r>
        <w:rPr>
          <w:rFonts w:ascii="Arial" w:cs="Arial" w:eastAsia="Arial" w:hAnsi="Arial"/>
          <w:sz w:val="22"/>
          <w:szCs w:val="22"/>
        </w:rPr>
        <w:t xml:space="preserve">The iterative removal is more stable than single-step selection</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Expected Final File Characteristics</w:t>
      </w:r>
    </w:p>
    <w:p>
      <w:pPr>
        <w:pStyle w:val="ListParagraph"/>
        <w:numPr>
          <w:ilvl w:val="0"/>
          <w:numId w:val="2"/>
        </w:numPr>
        <w:spacing w:before="60" w:after="60"/>
      </w:pPr>
      <w:r>
        <w:rPr>
          <w:rFonts w:ascii="Arial" w:cs="Arial" w:eastAsia="Arial" w:hAnsi="Arial"/>
          <w:sz w:val="22"/>
          <w:szCs w:val="22"/>
        </w:rPr>
        <w:t xml:space="preserve">Rows: one per patient sample</w:t>
      </w:r>
    </w:p>
    <w:p>
      <w:pPr>
        <w:pStyle w:val="ListParagraph"/>
        <w:numPr>
          <w:ilvl w:val="0"/>
          <w:numId w:val="2"/>
        </w:numPr>
        <w:spacing w:before="60" w:after="60"/>
      </w:pPr>
      <w:r>
        <w:rPr>
          <w:rFonts w:ascii="Arial" w:cs="Arial" w:eastAsia="Arial" w:hAnsi="Arial"/>
          <w:sz w:val="22"/>
          <w:szCs w:val="22"/>
        </w:rPr>
        <w:t xml:space="preserve">Columns: final selected genes + CLASS</w:t>
      </w:r>
    </w:p>
    <w:p>
      <w:pPr>
        <w:pStyle w:val="ListParagraph"/>
        <w:numPr>
          <w:ilvl w:val="0"/>
          <w:numId w:val="2"/>
        </w:numPr>
        <w:spacing w:before="60" w:after="60"/>
      </w:pPr>
      <w:r>
        <w:rPr>
          <w:rFonts w:ascii="Arial" w:cs="Arial" w:eastAsia="Arial" w:hAnsi="Arial"/>
          <w:sz w:val="22"/>
          <w:szCs w:val="22"/>
        </w:rPr>
        <w:t xml:space="preserve">Number of genes: approximately 64% of original DEG count</w:t>
      </w:r>
    </w:p>
    <w:p>
      <w:pPr>
        <w:pStyle w:val="ListParagraph"/>
        <w:numPr>
          <w:ilvl w:val="0"/>
          <w:numId w:val="2"/>
        </w:numPr>
        <w:spacing w:before="60" w:after="60"/>
      </w:pPr>
      <w:r>
        <w:rPr>
          <w:rFonts w:ascii="Arial" w:cs="Arial" w:eastAsia="Arial" w:hAnsi="Arial"/>
          <w:sz w:val="22"/>
          <w:szCs w:val="22"/>
        </w:rPr>
        <w:t xml:space="preserve">These genes represent the minimal sufficient biomarker panel</w:t>
      </w:r>
    </w:p>
    <w:p>
      <w:pPr>
        <w:spacing w:before="40" w:after="40"/>
      </w:pPr>
      <w:r>
        <w:t xml:space="preserve"/>
      </w:r>
    </w:p>
    <w:p>
      <w:pPr>
        <w:pStyle w:val="Heading2"/>
        <w:spacing w:before="360" w:after="160"/>
      </w:pPr>
      <w:r>
        <w:rPr>
          <w:rFonts w:ascii="Arial" w:cs="Arial" w:eastAsia="Arial" w:hAnsi="Arial"/>
          <w:b/>
          <w:bCs/>
          <w:color w:val="2E5FA3"/>
          <w:sz w:val="28"/>
          <w:szCs w:val="28"/>
        </w:rPr>
        <w:t xml:space="preserve">4.2  folder_svm_rfe_plot.png  — Feature Elimination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18"/>
              <w:bottom w:val="single" w:color="2E86C1" w:sz="6"/>
              <w:right w:val="single" w:color="2E86C1" w:sz="6"/>
            </w:tcBorders>
            <w:shd w:fill="EBF5FB" w:val="clear"/>
            <w:tcMar>
              <w:top w:type="dxa" w:w="120"/>
              <w:left w:type="dxa" w:w="200"/>
              <w:bottom w:type="dxa" w:w="120"/>
              <w:right w:type="dxa" w:w="120"/>
            </w:tcMar>
          </w:tcPr>
          <w:p>
            <w:pPr>
              <w:spacing w:after="60"/>
            </w:pPr>
            <w:r>
              <w:rPr>
                <w:rFonts w:ascii="Arial" w:cs="Arial" w:eastAsia="Arial" w:hAnsi="Arial"/>
                <w:b/>
                <w:bCs/>
                <w:color w:val="17375E"/>
                <w:sz w:val="22"/>
                <w:szCs w:val="22"/>
              </w:rPr>
              <w:t xml:space="preserve">Produced by:</w:t>
            </w:r>
          </w:p>
          <w:p>
            <w:pPr>
              <w:spacing w:before="0" w:after="0"/>
            </w:pPr>
            <w:r>
              <w:rPr>
                <w:rFonts w:ascii="Arial" w:cs="Arial" w:eastAsia="Arial" w:hAnsi="Arial"/>
                <w:sz w:val="21"/>
                <w:szCs w:val="21"/>
              </w:rPr>
              <w:t xml:space="preserve">Cell 9  |  Purpose: diagnostic visualization</w:t>
            </w:r>
          </w:p>
        </w:tc>
      </w:tr>
    </w:tbl>
    <w:p>
      <w:pPr>
        <w:spacing w:before="40" w:after="40"/>
      </w:pPr>
      <w:r>
        <w:t xml:space="preserve"/>
      </w:r>
    </w:p>
    <w:p>
      <w:pPr>
        <w:spacing w:before="80" w:after="80"/>
        <w:jc w:val="left"/>
      </w:pPr>
      <w:r>
        <w:rPr>
          <w:rFonts w:ascii="Arial" w:cs="Arial" w:eastAsia="Arial" w:hAnsi="Arial"/>
          <w:sz w:val="22"/>
          <w:szCs w:val="22"/>
        </w:rPr>
        <w:t xml:space="preserve">A line plot showing, at each step of SVM-RFE:</w:t>
      </w:r>
    </w:p>
    <w:p>
      <w:pPr>
        <w:pStyle w:val="ListParagraph"/>
        <w:numPr>
          <w:ilvl w:val="0"/>
          <w:numId w:val="2"/>
        </w:numPr>
        <w:spacing w:before="60" w:after="60"/>
      </w:pPr>
      <w:r>
        <w:rPr>
          <w:rFonts w:ascii="Arial" w:cs="Arial" w:eastAsia="Arial" w:hAnsi="Arial"/>
          <w:sz w:val="22"/>
          <w:szCs w:val="22"/>
        </w:rPr>
        <w:t xml:space="preserve">X-axis: number of features remaining after this elimination step</w:t>
      </w:r>
    </w:p>
    <w:p>
      <w:pPr>
        <w:pStyle w:val="ListParagraph"/>
        <w:numPr>
          <w:ilvl w:val="0"/>
          <w:numId w:val="2"/>
        </w:numPr>
        <w:spacing w:before="60" w:after="60"/>
      </w:pPr>
      <w:r>
        <w:rPr>
          <w:rFonts w:ascii="Arial" w:cs="Arial" w:eastAsia="Arial" w:hAnsi="Arial"/>
          <w:sz w:val="22"/>
          <w:szCs w:val="22"/>
        </w:rPr>
        <w:t xml:space="preserve">Y-axis: the minimum feature weight (|wᵢ| of the just-removed feature)</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How to Read the Plot</w:t>
      </w:r>
    </w:p>
    <w:p>
      <w:pPr>
        <w:pStyle w:val="ListParagraph"/>
        <w:numPr>
          <w:ilvl w:val="0"/>
          <w:numId w:val="2"/>
        </w:numPr>
        <w:spacing w:before="60" w:after="60"/>
      </w:pPr>
      <w:r>
        <w:rPr>
          <w:rFonts w:ascii="Arial" w:cs="Arial" w:eastAsia="Arial" w:hAnsi="Arial"/>
          <w:sz w:val="22"/>
          <w:szCs w:val="22"/>
        </w:rPr>
        <w:t xml:space="preserve">Steep drops: indicate that many features have near-zero weight and can be safely eliminated together</w:t>
      </w:r>
    </w:p>
    <w:p>
      <w:pPr>
        <w:pStyle w:val="ListParagraph"/>
        <w:numPr>
          <w:ilvl w:val="0"/>
          <w:numId w:val="2"/>
        </w:numPr>
        <w:spacing w:before="60" w:after="60"/>
      </w:pPr>
      <w:r>
        <w:rPr>
          <w:rFonts w:ascii="Arial" w:cs="Arial" w:eastAsia="Arial" w:hAnsi="Arial"/>
          <w:sz w:val="22"/>
          <w:szCs w:val="22"/>
        </w:rPr>
        <w:t xml:space="preserve">Flat regions: indicate features with similar importance — the algorithm is making hard choices</w:t>
      </w:r>
    </w:p>
    <w:p>
      <w:pPr>
        <w:pStyle w:val="ListParagraph"/>
        <w:numPr>
          <w:ilvl w:val="0"/>
          <w:numId w:val="2"/>
        </w:numPr>
        <w:spacing w:before="60" w:after="60"/>
      </w:pPr>
      <w:r>
        <w:rPr>
          <w:rFonts w:ascii="Arial" w:cs="Arial" w:eastAsia="Arial" w:hAnsi="Arial"/>
          <w:sz w:val="22"/>
          <w:szCs w:val="22"/>
        </w:rPr>
        <w:t xml:space="preserve">Sharp increase near the right: the remaining features are all important; removing any one would significantly hurt the classifier</w:t>
      </w:r>
    </w:p>
    <w:p>
      <w:pPr>
        <w:spacing w:before="80" w:after="80"/>
        <w:jc w:val="left"/>
      </w:pPr>
      <w:r>
        <w:rPr>
          <w:rFonts w:ascii="Arial" w:cs="Arial" w:eastAsia="Arial" w:hAnsi="Arial"/>
          <w:sz w:val="22"/>
          <w:szCs w:val="22"/>
        </w:rPr>
        <w:t xml:space="preserve">An ideal plot shows a gradual decrease followed by an elbow, confirming that the final kept features are genuinely more important than the eliminated ones.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18"/>
              <w:bottom w:val="single" w:color="2E86C1" w:sz="6"/>
              <w:right w:val="single" w:color="2E86C1" w:sz="6"/>
            </w:tcBorders>
            <w:shd w:fill="EBF5FB" w:val="clear"/>
            <w:tcMar>
              <w:top w:type="dxa" w:w="120"/>
              <w:left w:type="dxa" w:w="200"/>
              <w:bottom w:type="dxa" w:w="120"/>
              <w:right w:type="dxa" w:w="120"/>
            </w:tcMar>
          </w:tcPr>
          <w:p>
            <w:pPr>
              <w:spacing w:after="60"/>
            </w:pPr>
            <w:r>
              <w:rPr>
                <w:rFonts w:ascii="Arial" w:cs="Arial" w:eastAsia="Arial" w:hAnsi="Arial"/>
                <w:b/>
                <w:bCs/>
                <w:color w:val="17375E"/>
                <w:sz w:val="22"/>
                <w:szCs w:val="22"/>
              </w:rPr>
              <w:t xml:space="preserve">Warning sign:</w:t>
            </w:r>
          </w:p>
          <w:p>
            <w:pPr>
              <w:spacing w:before="0" w:after="0"/>
            </w:pPr>
            <w:r>
              <w:rPr>
                <w:rFonts w:ascii="Arial" w:cs="Arial" w:eastAsia="Arial" w:hAnsi="Arial"/>
                <w:sz w:val="21"/>
                <w:szCs w:val="21"/>
              </w:rPr>
              <w:t xml:space="preserve">If the plot is completely flat (all weights near zero except the very last few), it may indicate class imbalance, too few samples, or that the expression data does not contain strong signal for this classification task.</w:t>
            </w:r>
          </w:p>
        </w:tc>
      </w:tr>
    </w:tbl>
    <w:p>
      <w:r>
        <w:br w:type="page"/>
      </w:r>
    </w:p>
    <w:p>
      <w:pPr>
        <w:pStyle w:val="Heading1"/>
        <w:pBdr>
          <w:bottom w:val="single" w:color="2E5FA3" w:sz="8" w:space="4"/>
        </w:pBdr>
        <w:spacing w:before="480" w:after="200"/>
      </w:pPr>
      <w:r>
        <w:rPr>
          <w:rFonts w:ascii="Arial" w:cs="Arial" w:eastAsia="Arial" w:hAnsi="Arial"/>
          <w:b/>
          <w:bCs/>
          <w:color w:val="1F3864"/>
          <w:sz w:val="36"/>
          <w:szCs w:val="36"/>
        </w:rPr>
        <w:t xml:space="preserve">5. End-to-End Mathematical Data Flow</w:t>
      </w:r>
    </w:p>
    <w:p>
      <w:pPr>
        <w:pStyle w:val="Heading2"/>
        <w:spacing w:before="360" w:after="160"/>
      </w:pPr>
      <w:r>
        <w:rPr>
          <w:rFonts w:ascii="Arial" w:cs="Arial" w:eastAsia="Arial" w:hAnsi="Arial"/>
          <w:b/>
          <w:bCs/>
          <w:color w:val="2E5FA3"/>
          <w:sz w:val="28"/>
          <w:szCs w:val="28"/>
        </w:rPr>
        <w:t xml:space="preserve">5.1  From Raw Probe to Final Biomarker: The Full Transformation Chain</w:t>
      </w:r>
    </w:p>
    <w:p>
      <w:pPr>
        <w:spacing w:before="80" w:after="80"/>
        <w:jc w:val="left"/>
      </w:pPr>
      <w:r>
        <w:rPr>
          <w:rFonts w:ascii="Arial" w:cs="Arial" w:eastAsia="Arial" w:hAnsi="Arial"/>
          <w:sz w:val="22"/>
          <w:szCs w:val="22"/>
        </w:rPr>
        <w:t xml:space="preserve">Starting with a raw probe value x_{pj} for probe p in sample j:</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Stage 1: Log2 Transform</w:t>
      </w:r>
    </w:p>
    <w:p>
      <w:pPr>
        <w:spacing w:before="120" w:after="120"/>
        <w:ind w:left="720"/>
        <w:jc w:val="center"/>
      </w:pPr>
      <w:r>
        <w:rPr>
          <w:rFonts w:ascii="Cambria Math" w:cs="Cambria Math" w:eastAsia="Cambria Math" w:hAnsi="Cambria Math"/>
          <w:b/>
          <w:bCs/>
          <w:color w:val="1A5276"/>
          <w:sz w:val="22"/>
          <w:szCs w:val="22"/>
        </w:rPr>
        <w:t xml:space="preserve">x'_{pj} = log₂(x_{pj})    if not already log-transformed</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Stage 2: Quantile Normalization</w:t>
      </w:r>
    </w:p>
    <w:p>
      <w:pPr>
        <w:spacing w:before="120" w:after="120"/>
        <w:ind w:left="720"/>
        <w:jc w:val="center"/>
      </w:pPr>
      <w:r>
        <w:rPr>
          <w:rFonts w:ascii="Cambria Math" w:cs="Cambria Math" w:eastAsia="Cambria Math" w:hAnsi="Cambria Math"/>
          <w:b/>
          <w:bCs/>
          <w:color w:val="1A5276"/>
          <w:sz w:val="22"/>
          <w:szCs w:val="22"/>
        </w:rPr>
        <w:t xml:space="preserve">x''_{pj} = Q⁻¹(Fˆ_j(x'_{pj}))</w:t>
      </w:r>
    </w:p>
    <w:p>
      <w:pPr>
        <w:spacing w:before="80" w:after="80"/>
        <w:jc w:val="left"/>
      </w:pPr>
      <w:r>
        <w:rPr>
          <w:rFonts w:ascii="Arial" w:cs="Arial" w:eastAsia="Arial" w:hAnsi="Arial"/>
          <w:sz w:val="22"/>
          <w:szCs w:val="22"/>
        </w:rPr>
        <w:t xml:space="preserve">where Q⁻¹ is the quantile function of the target distribution (mean across samples), and Fˆ_j is the empirical CDF of sample j.</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Stage 3: DEG Filtering (gene level)</w:t>
      </w:r>
    </w:p>
    <w:p>
      <w:pPr>
        <w:spacing w:before="120" w:after="120"/>
        <w:ind w:left="720"/>
        <w:jc w:val="center"/>
      </w:pPr>
      <w:r>
        <w:rPr>
          <w:rFonts w:ascii="Cambria Math" w:cs="Cambria Math" w:eastAsia="Cambria Math" w:hAnsi="Cambria Math"/>
          <w:b/>
          <w:bCs/>
          <w:color w:val="1A5276"/>
          <w:sz w:val="22"/>
          <w:szCs w:val="22"/>
        </w:rPr>
        <w:t xml:space="preserve">G* = { g : adj.P.Val_g ≤ 0.05  AND  |logFC_g| ≥ 1 }</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Stage 4: Feature Matrix Construction</w:t>
      </w:r>
    </w:p>
    <w:p>
      <w:pPr>
        <w:spacing w:before="120" w:after="120"/>
        <w:ind w:left="720"/>
        <w:jc w:val="center"/>
      </w:pPr>
      <w:r>
        <w:rPr>
          <w:rFonts w:ascii="Cambria Math" w:cs="Cambria Math" w:eastAsia="Cambria Math" w:hAnsi="Cambria Math"/>
          <w:b/>
          <w:bCs/>
          <w:color w:val="1A5276"/>
          <w:sz w:val="22"/>
          <w:szCs w:val="22"/>
        </w:rPr>
        <w:t xml:space="preserve">X ∈ ℝ^(S × |G*|)    where X_{jg} = x''_{p*g, j}</w:t>
      </w:r>
    </w:p>
    <w:p>
      <w:pPr>
        <w:spacing w:before="80" w:after="80"/>
        <w:jc w:val="left"/>
      </w:pPr>
      <w:r>
        <w:rPr>
          <w:rFonts w:ascii="Arial" w:cs="Arial" w:eastAsia="Arial" w:hAnsi="Arial"/>
          <w:sz w:val="22"/>
          <w:szCs w:val="22"/>
        </w:rPr>
        <w:t xml:space="preserve">p*g is the best probe for gene g (lowest adj.P.Val).</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Stage 5: mRMR Feature Selection</w:t>
      </w:r>
    </w:p>
    <w:p>
      <w:pPr>
        <w:spacing w:before="120" w:after="120"/>
        <w:ind w:left="720"/>
        <w:jc w:val="center"/>
      </w:pPr>
      <w:r>
        <w:rPr>
          <w:rFonts w:ascii="Cambria Math" w:cs="Cambria Math" w:eastAsia="Cambria Math" w:hAnsi="Cambria Math"/>
          <w:b/>
          <w:bCs/>
          <w:color w:val="1A5276"/>
          <w:sz w:val="22"/>
          <w:szCs w:val="22"/>
        </w:rPr>
        <w:t xml:space="preserve">G_mRMR = top-⌈80% × |G*|⌉ genes ranked by I(X_g; Y)</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Stage 6: SVM-RFE</w:t>
      </w:r>
    </w:p>
    <w:p>
      <w:pPr>
        <w:spacing w:before="120" w:after="120"/>
        <w:ind w:left="720"/>
        <w:jc w:val="center"/>
      </w:pPr>
      <w:r>
        <w:rPr>
          <w:rFonts w:ascii="Cambria Math" w:cs="Cambria Math" w:eastAsia="Cambria Math" w:hAnsi="Cambria Math"/>
          <w:b/>
          <w:bCs/>
          <w:color w:val="1A5276"/>
          <w:sz w:val="22"/>
          <w:szCs w:val="22"/>
        </w:rPr>
        <w:t xml:space="preserve">G_final = SVM-RFE(X_{G_mRMR}, Y, keep = ⌈80% × |G_mRMR|⌉)</w:t>
      </w:r>
    </w:p>
    <w:p>
      <w:pPr>
        <w:spacing w:before="40" w:after="40"/>
      </w:pPr>
      <w:r>
        <w:t xml:space="preserve"/>
      </w:r>
    </w:p>
    <w:p>
      <w:pPr>
        <w:spacing w:before="80" w:after="80"/>
        <w:jc w:val="left"/>
      </w:pPr>
      <w:r>
        <w:rPr>
          <w:rFonts w:ascii="Arial" w:cs="Arial" w:eastAsia="Arial" w:hAnsi="Arial"/>
          <w:sz w:val="22"/>
          <w:szCs w:val="22"/>
        </w:rPr>
        <w:t xml:space="preserve">The final gene set G_final is the pipeline's answer: a minimal, statistically grounded, biologically validated set of biomarker genes for HIV distinction.</w:t>
      </w:r>
    </w:p>
    <w:p>
      <w:pPr>
        <w:spacing w:before="40" w:after="40"/>
      </w:pPr>
      <w:r>
        <w:t xml:space="preserve"/>
      </w:r>
    </w:p>
    <w:p>
      <w:pPr>
        <w:pStyle w:val="Heading2"/>
        <w:spacing w:before="360" w:after="160"/>
      </w:pPr>
      <w:r>
        <w:rPr>
          <w:rFonts w:ascii="Arial" w:cs="Arial" w:eastAsia="Arial" w:hAnsi="Arial"/>
          <w:b/>
          <w:bCs/>
          <w:color w:val="2E5FA3"/>
          <w:sz w:val="28"/>
          <w:szCs w:val="28"/>
        </w:rPr>
        <w:t xml:space="preserve">5.2  Dimensionality Reduction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Typical Feature Count</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Reduction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Raw microarray probes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~54,000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Baseline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After adj.P.Val ≤ 0.05</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~2,000–5,000</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~90–96% reduction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After |logFC| ≥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~500–1,500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Further ~50–70% reduction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After best-probe dedup</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~300–1,000 genes</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~10–30% reduction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After mRMR (top 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~240–800 genes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20% reduction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After SVM-RFE (top 80%)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~190–640 genes</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Further 20% reduction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Final biomarker 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~190–640 genes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&gt;99% reduction from raw</w:t>
            </w:r>
          </w:p>
        </w:tc>
      </w:tr>
    </w:tbl>
    <w:p>
      <w:pPr>
        <w:spacing w:before="40" w:after="40"/>
      </w:pPr>
      <w:r>
        <w:t xml:space="preserve"/>
      </w:r>
    </w:p>
    <w:p>
      <w:r>
        <w:br w:type="page"/>
      </w:r>
    </w:p>
    <w:p>
      <w:pPr>
        <w:pStyle w:val="Heading1"/>
        <w:pBdr>
          <w:bottom w:val="single" w:color="2E5FA3" w:sz="8" w:space="4"/>
        </w:pBdr>
        <w:spacing w:before="480" w:after="200"/>
      </w:pPr>
      <w:r>
        <w:rPr>
          <w:rFonts w:ascii="Arial" w:cs="Arial" w:eastAsia="Arial" w:hAnsi="Arial"/>
          <w:b/>
          <w:bCs/>
          <w:color w:val="1F3864"/>
          <w:sz w:val="36"/>
          <w:szCs w:val="36"/>
        </w:rPr>
        <w:t xml:space="preserve">6. Biological Interpretation of Key Genes</w:t>
      </w:r>
    </w:p>
    <w:p>
      <w:pPr>
        <w:pStyle w:val="Heading2"/>
        <w:spacing w:before="360" w:after="160"/>
      </w:pPr>
      <w:r>
        <w:rPr>
          <w:rFonts w:ascii="Arial" w:cs="Arial" w:eastAsia="Arial" w:hAnsi="Arial"/>
          <w:b/>
          <w:bCs/>
          <w:color w:val="2E5FA3"/>
          <w:sz w:val="28"/>
          <w:szCs w:val="28"/>
        </w:rPr>
        <w:t xml:space="preserve">6.1  Top Scoring Genes and Their HIV Significance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69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 Score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Biological Role &amp; HIV Relevance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MX1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0.2676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MX Dynamin Like GTPase 1. A canonical interferon-stimulated gene (ISG). Strongly upregulated in response to Type I interferons (IFN-α/β). HIV infection triggers persistent interferon signaling, making MX1 one of the most consistently elevated genes in HIV+ peripheral blood. Used in clinical transcriptomic signatures.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HERC5</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0.2657</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HECT and RLD Domain Containing E3 Ubiquitin Protein Ligase 5. An ISE15 E3 ligase that ISGylates proteins during antiviral response. Strongly induced by IFN-α. ISGylation is a ubiquitin-like modification that restricts viral replication.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IFI27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0.2425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Interferon Alpha Inducible Protein 27. A mitochondria-associated ISG. Highly expressed in HIV+ samples and validated in multiple independent cohorts as a blood biomarker for active viral replication. Also upregulated in tuberculosis co-infection.</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OAS1</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0.1362</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2'-5'-Oligoadenylate Synthetase 1. Activates RNase L to degrade viral RNA. A direct antiviral effector gene, strongly induced by IFN. Genetic variants in OAS1 affect HIV susceptibility.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LAMP3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0.1422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Lysosomal Associated Membrane Protein 3. Marker of mature dendritic cells. HIV infects and disrupts dendritic cell function, and LAMP3 upregulation reflects DC activation in response to infection.</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TIMM10</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0.1348</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Translocase of Inner Mitochondrial Membrane 10. Less HIV-specific. May reflect mitochondrial stress or altered energy metabolism in HIV+ T cells.</w:t>
            </w:r>
          </w:p>
        </w:tc>
      </w:tr>
    </w:tbl>
    <w:p>
      <w:pPr>
        <w:spacing w:before="40" w:after="40"/>
      </w:pPr>
      <w:r>
        <w:t xml:space="preserve"/>
      </w:r>
    </w:p>
    <w:p>
      <w:pPr>
        <w:pStyle w:val="Heading2"/>
        <w:spacing w:before="360" w:after="160"/>
      </w:pPr>
      <w:r>
        <w:rPr>
          <w:rFonts w:ascii="Arial" w:cs="Arial" w:eastAsia="Arial" w:hAnsi="Arial"/>
          <w:b/>
          <w:bCs/>
          <w:color w:val="2E5FA3"/>
          <w:sz w:val="28"/>
          <w:szCs w:val="28"/>
        </w:rPr>
        <w:t xml:space="preserve">6.2  Why Interferon-Stimulated Genes Dominate</w:t>
      </w:r>
    </w:p>
    <w:p>
      <w:pPr>
        <w:spacing w:before="80" w:after="80"/>
        <w:jc w:val="left"/>
      </w:pPr>
      <w:r>
        <w:rPr>
          <w:rFonts w:ascii="Arial" w:cs="Arial" w:eastAsia="Arial" w:hAnsi="Arial"/>
          <w:sz w:val="22"/>
          <w:szCs w:val="22"/>
        </w:rPr>
        <w:t xml:space="preserve">HIV is a retrovirus that integrates into the host genome. The innate immune system detects viral nucleic acids via pattern recognition receptors (cGAS-STING, RIG-I, TLR7/9). Detection triggers a type I interferon response:</w:t>
      </w:r>
    </w:p>
    <w:p>
      <w:pPr>
        <w:spacing w:before="120" w:after="120"/>
        <w:ind w:left="720"/>
        <w:jc w:val="center"/>
      </w:pPr>
      <w:r>
        <w:rPr>
          <w:rFonts w:ascii="Cambria Math" w:cs="Cambria Math" w:eastAsia="Cambria Math" w:hAnsi="Cambria Math"/>
          <w:b/>
          <w:bCs/>
          <w:color w:val="1A5276"/>
          <w:sz w:val="22"/>
          <w:szCs w:val="22"/>
        </w:rPr>
        <w:t xml:space="preserve">Viral RNA/DNA → PRR activation → IRF3/7 phosphorylation → IFN-α/β secretion → JAK-STAT signaling → ISG upregulation</w:t>
      </w:r>
    </w:p>
    <w:p>
      <w:pPr>
        <w:spacing w:before="80" w:after="80"/>
        <w:jc w:val="left"/>
      </w:pPr>
      <w:r>
        <w:rPr>
          <w:rFonts w:ascii="Arial" w:cs="Arial" w:eastAsia="Arial" w:hAnsi="Arial"/>
          <w:sz w:val="22"/>
          <w:szCs w:val="22"/>
        </w:rPr>
        <w:t xml:space="preserve">ISGs including MX1, HERC5, IFI27, and OAS1 are the downstream effectors of this pathway. Their consistent upregulation across HIV+ patients (regardless of viral load or treatment stage, in many studies) makes them robust biomarkers — they reflect host response, not viral titre directly.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18"/>
              <w:bottom w:val="single" w:color="2E86C1" w:sz="6"/>
              <w:right w:val="single" w:color="2E86C1" w:sz="6"/>
            </w:tcBorders>
            <w:shd w:fill="EBF5FB" w:val="clear"/>
            <w:tcMar>
              <w:top w:type="dxa" w:w="120"/>
              <w:left w:type="dxa" w:w="200"/>
              <w:bottom w:type="dxa" w:w="120"/>
              <w:right w:type="dxa" w:w="120"/>
            </w:tcMar>
          </w:tcPr>
          <w:p>
            <w:pPr>
              <w:spacing w:after="60"/>
            </w:pPr>
            <w:r>
              <w:rPr>
                <w:rFonts w:ascii="Arial" w:cs="Arial" w:eastAsia="Arial" w:hAnsi="Arial"/>
                <w:b/>
                <w:bCs/>
                <w:color w:val="17375E"/>
                <w:sz w:val="22"/>
                <w:szCs w:val="22"/>
              </w:rPr>
              <w:t xml:space="preserve">Validation note:</w:t>
            </w:r>
          </w:p>
          <w:p>
            <w:pPr>
              <w:spacing w:before="0" w:after="0"/>
            </w:pPr>
            <w:r>
              <w:rPr>
                <w:rFonts w:ascii="Arial" w:cs="Arial" w:eastAsia="Arial" w:hAnsi="Arial"/>
                <w:sz w:val="21"/>
                <w:szCs w:val="21"/>
              </w:rPr>
              <w:t xml:space="preserve">The fact that the pipeline's top-ranked genes (MX1, HERC5, IFI27, OAS1) are all established HIV biomarkers from the published literature serves as strong internal validation that the mathematical pipeline is correctly identifying signal from noise. A pipeline producing unknown or biologically implausible genes would suggest an error.</w:t>
            </w:r>
          </w:p>
        </w:tc>
      </w:tr>
    </w:tbl>
    <w:p>
      <w:pPr>
        <w:spacing w:before="40" w:after="40"/>
      </w:pPr>
      <w:r>
        <w:t xml:space="preserve"/>
      </w:r>
    </w:p>
    <w:p>
      <w:r>
        <w:br w:type="page"/>
      </w:r>
    </w:p>
    <w:p>
      <w:pPr>
        <w:pStyle w:val="Heading1"/>
        <w:pBdr>
          <w:bottom w:val="single" w:color="2E5FA3" w:sz="8" w:space="4"/>
        </w:pBdr>
        <w:spacing w:before="480" w:after="200"/>
      </w:pPr>
      <w:r>
        <w:rPr>
          <w:rFonts w:ascii="Arial" w:cs="Arial" w:eastAsia="Arial" w:hAnsi="Arial"/>
          <w:b/>
          <w:bCs/>
          <w:color w:val="1F3864"/>
          <w:sz w:val="36"/>
          <w:szCs w:val="36"/>
        </w:rPr>
        <w:t xml:space="preserve">7. Statistical Expectations and Validation</w:t>
      </w:r>
    </w:p>
    <w:p>
      <w:pPr>
        <w:pStyle w:val="Heading2"/>
        <w:spacing w:before="360" w:after="160"/>
      </w:pPr>
      <w:r>
        <w:rPr>
          <w:rFonts w:ascii="Arial" w:cs="Arial" w:eastAsia="Arial" w:hAnsi="Arial"/>
          <w:b/>
          <w:bCs/>
          <w:color w:val="2E5FA3"/>
          <w:sz w:val="28"/>
          <w:szCs w:val="28"/>
        </w:rPr>
        <w:t xml:space="preserve">7.1  What Good Results Look Like</w:t>
      </w:r>
    </w:p>
    <w:p>
      <w:pPr>
        <w:pStyle w:val="Heading3"/>
        <w:spacing w:before="280" w:after="120"/>
      </w:pPr>
      <w:r>
        <w:rPr>
          <w:rFonts w:ascii="Arial" w:cs="Arial" w:eastAsia="Arial" w:hAnsi="Arial"/>
          <w:b/>
          <w:bCs/>
          <w:color w:val="2F5496"/>
          <w:sz w:val="24"/>
          <w:szCs w:val="24"/>
        </w:rPr>
        <w:t xml:space="preserve">After DEG filtering (Cell 3)</w:t>
      </w:r>
    </w:p>
    <w:p>
      <w:pPr>
        <w:pStyle w:val="ListParagraph"/>
        <w:numPr>
          <w:ilvl w:val="0"/>
          <w:numId w:val="2"/>
        </w:numPr>
        <w:spacing w:before="60" w:after="60"/>
      </w:pPr>
      <w:r>
        <w:rPr>
          <w:rFonts w:ascii="Arial" w:cs="Arial" w:eastAsia="Arial" w:hAnsi="Arial"/>
          <w:sz w:val="22"/>
          <w:szCs w:val="22"/>
        </w:rPr>
        <w:t xml:space="preserve">Expected gene count: 50–1,500 for HIV vs healthy (strong biological signal)</w:t>
      </w:r>
    </w:p>
    <w:p>
      <w:pPr>
        <w:pStyle w:val="ListParagraph"/>
        <w:numPr>
          <w:ilvl w:val="0"/>
          <w:numId w:val="2"/>
        </w:numPr>
        <w:spacing w:before="60" w:after="60"/>
      </w:pPr>
      <w:r>
        <w:rPr>
          <w:rFonts w:ascii="Arial" w:cs="Arial" w:eastAsia="Arial" w:hAnsi="Arial"/>
          <w:sz w:val="22"/>
          <w:szCs w:val="22"/>
        </w:rPr>
        <w:t xml:space="preserve">logFC range: typically −5 to +5 for most ISGs (log2 scale)</w:t>
      </w:r>
    </w:p>
    <w:p>
      <w:pPr>
        <w:pStyle w:val="ListParagraph"/>
        <w:numPr>
          <w:ilvl w:val="0"/>
          <w:numId w:val="2"/>
        </w:numPr>
        <w:spacing w:before="60" w:after="60"/>
      </w:pPr>
      <w:r>
        <w:rPr>
          <w:rFonts w:ascii="Arial" w:cs="Arial" w:eastAsia="Arial" w:hAnsi="Arial"/>
          <w:sz w:val="22"/>
          <w:szCs w:val="22"/>
        </w:rPr>
        <w:t xml:space="preserve">Most DEGs should be upregulated (positive logFC) in HIV+ samples, reflecting immune activation</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After normalization (Cell 4)</w:t>
      </w:r>
    </w:p>
    <w:p>
      <w:pPr>
        <w:pStyle w:val="ListParagraph"/>
        <w:numPr>
          <w:ilvl w:val="0"/>
          <w:numId w:val="2"/>
        </w:numPr>
        <w:spacing w:before="60" w:after="60"/>
      </w:pPr>
      <w:r>
        <w:rPr>
          <w:rFonts w:ascii="Arial" w:cs="Arial" w:eastAsia="Arial" w:hAnsi="Arial"/>
          <w:sz w:val="22"/>
          <w:szCs w:val="22"/>
        </w:rPr>
        <w:t xml:space="preserve">All sample distributions should be identical after quantile normalization</w:t>
      </w:r>
    </w:p>
    <w:p>
      <w:pPr>
        <w:pStyle w:val="ListParagraph"/>
        <w:numPr>
          <w:ilvl w:val="0"/>
          <w:numId w:val="2"/>
        </w:numPr>
        <w:spacing w:before="60" w:after="60"/>
      </w:pPr>
      <w:r>
        <w:rPr>
          <w:rFonts w:ascii="Arial" w:cs="Arial" w:eastAsia="Arial" w:hAnsi="Arial"/>
          <w:sz w:val="22"/>
          <w:szCs w:val="22"/>
        </w:rPr>
        <w:t xml:space="preserve">Box plots of all samples should show same median, IQR, and range</w:t>
      </w:r>
    </w:p>
    <w:p>
      <w:pPr>
        <w:pStyle w:val="ListParagraph"/>
        <w:numPr>
          <w:ilvl w:val="0"/>
          <w:numId w:val="2"/>
        </w:numPr>
        <w:spacing w:before="60" w:after="60"/>
      </w:pPr>
      <w:r>
        <w:rPr>
          <w:rFonts w:ascii="Arial" w:cs="Arial" w:eastAsia="Arial" w:hAnsi="Arial"/>
          <w:sz w:val="22"/>
          <w:szCs w:val="22"/>
        </w:rPr>
        <w:t xml:space="preserve">PCA before normalization: samples may cluster by batch</w:t>
      </w:r>
    </w:p>
    <w:p>
      <w:pPr>
        <w:pStyle w:val="ListParagraph"/>
        <w:numPr>
          <w:ilvl w:val="0"/>
          <w:numId w:val="2"/>
        </w:numPr>
        <w:spacing w:before="60" w:after="60"/>
      </w:pPr>
      <w:r>
        <w:rPr>
          <w:rFonts w:ascii="Arial" w:cs="Arial" w:eastAsia="Arial" w:hAnsi="Arial"/>
          <w:sz w:val="22"/>
          <w:szCs w:val="22"/>
        </w:rPr>
        <w:t xml:space="preserve">PCA after normalization: samples should cluster by biological condition</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mRMR scores (Cell 8)</w:t>
      </w:r>
    </w:p>
    <w:p>
      <w:pPr>
        <w:pStyle w:val="ListParagraph"/>
        <w:numPr>
          <w:ilvl w:val="0"/>
          <w:numId w:val="2"/>
        </w:numPr>
        <w:spacing w:before="60" w:after="60"/>
      </w:pPr>
      <w:r>
        <w:rPr>
          <w:rFonts w:ascii="Arial" w:cs="Arial" w:eastAsia="Arial" w:hAnsi="Arial"/>
          <w:sz w:val="22"/>
          <w:szCs w:val="22"/>
        </w:rPr>
        <w:t xml:space="preserve">Top scores should be biologically interpretable ISGs</w:t>
      </w:r>
    </w:p>
    <w:p>
      <w:pPr>
        <w:pStyle w:val="ListParagraph"/>
        <w:numPr>
          <w:ilvl w:val="0"/>
          <w:numId w:val="2"/>
        </w:numPr>
        <w:spacing w:before="60" w:after="60"/>
      </w:pPr>
      <w:r>
        <w:rPr>
          <w:rFonts w:ascii="Arial" w:cs="Arial" w:eastAsia="Arial" w:hAnsi="Arial"/>
          <w:sz w:val="22"/>
          <w:szCs w:val="22"/>
        </w:rPr>
        <w:t xml:space="preserve">Score distribution should be right-skewed (few high, many low)</w:t>
      </w:r>
    </w:p>
    <w:p>
      <w:pPr>
        <w:pStyle w:val="ListParagraph"/>
        <w:numPr>
          <w:ilvl w:val="0"/>
          <w:numId w:val="2"/>
        </w:numPr>
        <w:spacing w:before="60" w:after="60"/>
      </w:pPr>
      <w:r>
        <w:rPr>
          <w:rFonts w:ascii="Arial" w:cs="Arial" w:eastAsia="Arial" w:hAnsi="Arial"/>
          <w:sz w:val="22"/>
          <w:szCs w:val="22"/>
        </w:rPr>
        <w:t xml:space="preserve">Scores near 0 indicate genes with no class-relevant information</w:t>
      </w:r>
    </w:p>
    <w:p>
      <w:pPr>
        <w:spacing w:before="40" w:after="40"/>
      </w:pPr>
      <w:r>
        <w:t xml:space="preserve"/>
      </w:r>
    </w:p>
    <w:p>
      <w:pPr>
        <w:pStyle w:val="Heading3"/>
        <w:spacing w:before="280" w:after="120"/>
      </w:pPr>
      <w:r>
        <w:rPr>
          <w:rFonts w:ascii="Arial" w:cs="Arial" w:eastAsia="Arial" w:hAnsi="Arial"/>
          <w:b/>
          <w:bCs/>
          <w:color w:val="2F5496"/>
          <w:sz w:val="24"/>
          <w:szCs w:val="24"/>
        </w:rPr>
        <w:t xml:space="preserve">SVM-RFE (Cell 9)</w:t>
      </w:r>
    </w:p>
    <w:p>
      <w:pPr>
        <w:pStyle w:val="ListParagraph"/>
        <w:numPr>
          <w:ilvl w:val="0"/>
          <w:numId w:val="2"/>
        </w:numPr>
        <w:spacing w:before="60" w:after="60"/>
      </w:pPr>
      <w:r>
        <w:rPr>
          <w:rFonts w:ascii="Arial" w:cs="Arial" w:eastAsia="Arial" w:hAnsi="Arial"/>
          <w:sz w:val="22"/>
          <w:szCs w:val="22"/>
        </w:rPr>
        <w:t xml:space="preserve">The weight elimination curve should show gradual decrease, not random fluctuation</w:t>
      </w:r>
    </w:p>
    <w:p>
      <w:pPr>
        <w:pStyle w:val="ListParagraph"/>
        <w:numPr>
          <w:ilvl w:val="0"/>
          <w:numId w:val="2"/>
        </w:numPr>
        <w:spacing w:before="60" w:after="60"/>
      </w:pPr>
      <w:r>
        <w:rPr>
          <w:rFonts w:ascii="Arial" w:cs="Arial" w:eastAsia="Arial" w:hAnsi="Arial"/>
          <w:sz w:val="22"/>
          <w:szCs w:val="22"/>
        </w:rPr>
        <w:t xml:space="preserve">If all weights are near-zero throughout, this indicates insufficient sample size or class imbalance</w:t>
      </w:r>
    </w:p>
    <w:p>
      <w:pPr>
        <w:spacing w:before="40" w:after="40"/>
      </w:pPr>
      <w:r>
        <w:t xml:space="preserve"/>
      </w:r>
    </w:p>
    <w:p>
      <w:pPr>
        <w:pStyle w:val="Heading2"/>
        <w:spacing w:before="360" w:after="160"/>
      </w:pPr>
      <w:r>
        <w:rPr>
          <w:rFonts w:ascii="Arial" w:cs="Arial" w:eastAsia="Arial" w:hAnsi="Arial"/>
          <w:b/>
          <w:bCs/>
          <w:color w:val="2E5FA3"/>
          <w:sz w:val="28"/>
          <w:szCs w:val="28"/>
        </w:rPr>
        <w:t xml:space="preserve">7.2  Common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Symptom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Likely Cause and Fix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Zero rows after DEG 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logFC already absolute values; wrong column name; threshold too strict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No ID overlap in Cell 5 merge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Probe ID format mismatch between TSV and series matrix (e.g., leading zeros)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 Gene.symbol in transposed 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Cell 6 header detection failed; wrong row selected as header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No Accession overlap in Cell 7</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Sample IDs in tableDEG don't match GSM IDs in series matrix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MI scores near zero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CLASS column has no variance; only one class in data</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SVM-RFE crashes on weights</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Multiclass data with linear SVM produces non-conforming coef_ shape</w:t>
            </w:r>
          </w:p>
        </w:tc>
      </w:tr>
    </w:tbl>
    <w:p>
      <w:pPr>
        <w:spacing w:before="40" w:after="40"/>
      </w:pPr>
      <w:r>
        <w:t xml:space="preserve"/>
      </w:r>
    </w:p>
    <w:p>
      <w:r>
        <w:br w:type="page"/>
      </w:r>
    </w:p>
    <w:p>
      <w:pPr>
        <w:pStyle w:val="Heading1"/>
        <w:pBdr>
          <w:bottom w:val="single" w:color="2E5FA3" w:sz="8" w:space="4"/>
        </w:pBdr>
        <w:spacing w:before="480" w:after="200"/>
      </w:pPr>
      <w:r>
        <w:rPr>
          <w:rFonts w:ascii="Arial" w:cs="Arial" w:eastAsia="Arial" w:hAnsi="Arial"/>
          <w:b/>
          <w:bCs/>
          <w:color w:val="1F3864"/>
          <w:sz w:val="36"/>
          <w:szCs w:val="36"/>
        </w:rPr>
        <w:t xml:space="preserve">8. Complete File Dependency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Produced By</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Consumed By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GSEXXXX.top.table.tsv</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User (input)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Cell 2</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GSEXXXX_series_matrix.txt.gz</w:t>
            </w:r>
          </w:p>
        </w:tc>
        <w:tc>
          <w:tcPr>
            <w:tcW w:type="dxa" w:w="3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User (input)</w:t>
            </w:r>
          </w:p>
        </w:tc>
        <w:tc>
          <w:tcPr>
            <w:tcW w:type="dxa" w:w="3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Cell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tableDEG.csv</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User (input)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Cell 7</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GSEXXXX.csv</w:t>
            </w:r>
          </w:p>
        </w:tc>
        <w:tc>
          <w:tcPr>
            <w:tcW w:type="dxa" w:w="3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Cell 2</w:t>
            </w:r>
          </w:p>
        </w:tc>
        <w:tc>
          <w:tcPr>
            <w:tcW w:type="dxa" w:w="3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Cell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GSEXXXX_series_matrixpre_mod.txt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Cell 2</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Cell 2 (cleaning)</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GSEXXXX_series_matrix.txt</w:t>
            </w:r>
          </w:p>
        </w:tc>
        <w:tc>
          <w:tcPr>
            <w:tcW w:type="dxa" w:w="3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Cell 2</w:t>
            </w:r>
          </w:p>
        </w:tc>
        <w:tc>
          <w:tcPr>
            <w:tcW w:type="dxa" w:w="3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Cell 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folder_totalDEG.csv</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Cell 3</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Cell 5</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GSEXXXX_log_quantile_normalized_data.csv</w:t>
            </w:r>
          </w:p>
        </w:tc>
        <w:tc>
          <w:tcPr>
            <w:tcW w:type="dxa" w:w="3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Cell 4</w:t>
            </w:r>
          </w:p>
        </w:tc>
        <w:tc>
          <w:tcPr>
            <w:tcW w:type="dxa" w:w="3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Cell 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folder_merged_file_no_class.csv</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Cell 5</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Cell 6</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folder_merged_transposed_pre.csv</w:t>
            </w:r>
          </w:p>
        </w:tc>
        <w:tc>
          <w:tcPr>
            <w:tcW w:type="dxa" w:w="3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Cell 6</w:t>
            </w:r>
          </w:p>
        </w:tc>
        <w:tc>
          <w:tcPr>
            <w:tcW w:type="dxa" w:w="3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Cell 6 (header scan)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folder_merged_transposed.csv</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Cell 6</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Cell 7</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folder_merged_modified.csv</w:t>
            </w:r>
          </w:p>
        </w:tc>
        <w:tc>
          <w:tcPr>
            <w:tcW w:type="dxa" w:w="3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Cell 7</w:t>
            </w:r>
          </w:p>
        </w:tc>
        <w:tc>
          <w:tcPr>
            <w:tcW w:type="dxa" w:w="3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Cell 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folder_merged_transposed_class_added.csv</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Cell 7</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Reference copy</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folder_selected_features_with_class.csv</w:t>
            </w:r>
          </w:p>
        </w:tc>
        <w:tc>
          <w:tcPr>
            <w:tcW w:type="dxa" w:w="3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Cell 8</w:t>
            </w:r>
          </w:p>
        </w:tc>
        <w:tc>
          <w:tcPr>
            <w:tcW w:type="dxa" w:w="3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Cell 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folder_selected_N_features_with_scores.csv</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Cell 8</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Analyst output</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folder_svm_rfe_selected_features.csv</w:t>
            </w:r>
          </w:p>
        </w:tc>
        <w:tc>
          <w:tcPr>
            <w:tcW w:type="dxa" w:w="3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Cell 9</w:t>
            </w:r>
          </w:p>
        </w:tc>
        <w:tc>
          <w:tcPr>
            <w:tcW w:type="dxa" w:w="3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FINAL OUTPUT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folder_svm_rfe_plot.png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Cell 9</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Diagnostic visualization</w:t>
            </w:r>
          </w:p>
        </w:tc>
      </w:tr>
    </w:tbl>
    <w:p>
      <w:pPr>
        <w:spacing w:before="40" w:after="40"/>
      </w:pPr>
      <w:r>
        <w:t xml:space="preserve"/>
      </w:r>
    </w:p>
    <w:p>
      <w:pPr>
        <w:spacing w:before="40" w:after="40"/>
      </w:pPr>
      <w:r>
        <w:t xml:space="preserve"/>
      </w:r>
    </w:p>
    <w:p>
      <w:pPr>
        <w:pBdr>
          <w:top w:val="single" w:color="2E5FA3" w:sz="6"/>
        </w:pBdr>
        <w:spacing w:before="400" w:after="200"/>
        <w:jc w:val="center"/>
      </w:pPr>
      <w:r>
        <w:rPr>
          <w:rFonts w:ascii="Arial" w:cs="Arial" w:eastAsia="Arial" w:hAnsi="Arial"/>
          <w:i/>
          <w:iCs/>
          <w:color w:val="888888"/>
          <w:sz w:val="20"/>
          <w:szCs w:val="20"/>
        </w:rPr>
        <w:t xml:space="preserve">End of Document  —  HIV Distinction Pipeline Technical 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5FA3"/>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2026-03-14T23:25:50.924Z</dcterms:created>
  <dcterms:modified xsi:type="dcterms:W3CDTF">2026-03-14T23:25:50.925Z</dcterms:modified>
</cp:coreProperties>
</file>

<file path=docProps/custom.xml><?xml version="1.0" encoding="utf-8"?>
<Properties xmlns="http://schemas.openxmlformats.org/officeDocument/2006/custom-properties" xmlns:vt="http://schemas.openxmlformats.org/officeDocument/2006/docPropsVTypes"/>
</file>