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11EE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Business Context</w:t>
      </w:r>
      <w:r w:rsidRPr="00F26696">
        <w:rPr>
          <w:rFonts w:ascii="Gill Sans MT" w:hAnsi="Gill Sans MT"/>
          <w:sz w:val="22"/>
          <w:szCs w:val="22"/>
        </w:rPr>
        <w:t>: FMCG, Consumer Goods</w:t>
      </w:r>
      <w:r w:rsidRPr="00F26696">
        <w:rPr>
          <w:rFonts w:ascii="Gill Sans MT" w:hAnsi="Gill Sans MT"/>
          <w:b/>
          <w:bCs/>
          <w:sz w:val="22"/>
          <w:szCs w:val="22"/>
        </w:rPr>
        <w:br/>
        <w:t>Data</w:t>
      </w:r>
      <w:r w:rsidRPr="00F26696">
        <w:rPr>
          <w:rFonts w:ascii="Gill Sans MT" w:hAnsi="Gill Sans MT"/>
          <w:sz w:val="22"/>
          <w:szCs w:val="22"/>
        </w:rPr>
        <w:t>: Monthly Demand &amp; Supply (Jan 2022 – Dec 2024) </w:t>
      </w:r>
      <w:r w:rsidRPr="00F26696">
        <w:rPr>
          <w:rFonts w:ascii="Gill Sans MT" w:hAnsi="Gill Sans MT"/>
          <w:sz w:val="22"/>
          <w:szCs w:val="22"/>
        </w:rPr>
        <w:br/>
      </w:r>
      <w:r w:rsidRPr="00F26696">
        <w:rPr>
          <w:rFonts w:ascii="Gill Sans MT" w:hAnsi="Gill Sans MT"/>
          <w:b/>
          <w:bCs/>
          <w:sz w:val="22"/>
          <w:szCs w:val="22"/>
        </w:rPr>
        <w:t>Model</w:t>
      </w:r>
      <w:r w:rsidRPr="00F26696">
        <w:rPr>
          <w:rFonts w:ascii="Gill Sans MT" w:hAnsi="Gill Sans MT"/>
          <w:sz w:val="22"/>
          <w:szCs w:val="22"/>
        </w:rPr>
        <w:t>: SARIMA (seasonal ARIMA)</w:t>
      </w:r>
      <w:r w:rsidRPr="00F26696">
        <w:rPr>
          <w:rFonts w:ascii="Gill Sans MT" w:hAnsi="Gill Sans MT"/>
          <w:sz w:val="22"/>
          <w:szCs w:val="22"/>
        </w:rPr>
        <w:br/>
      </w:r>
      <w:r w:rsidRPr="00F26696">
        <w:rPr>
          <w:rFonts w:ascii="Gill Sans MT" w:hAnsi="Gill Sans MT"/>
          <w:b/>
          <w:bCs/>
          <w:sz w:val="22"/>
          <w:szCs w:val="22"/>
        </w:rPr>
        <w:t>Deliverables</w:t>
      </w:r>
      <w:r w:rsidRPr="00F26696">
        <w:rPr>
          <w:rFonts w:ascii="Gill Sans MT" w:hAnsi="Gill Sans MT"/>
          <w:sz w:val="22"/>
          <w:szCs w:val="22"/>
        </w:rPr>
        <w:t>: 18-month forecast, model accuracy metrics, monthly &amp; annual availability gaps, service-level projections, and recommendations for S&amp;OP alignment.</w:t>
      </w:r>
      <w:r w:rsidRPr="00F26696">
        <w:rPr>
          <w:rFonts w:ascii="Gill Sans MT" w:hAnsi="Gill Sans MT"/>
          <w:b/>
          <w:bCs/>
          <w:sz w:val="22"/>
          <w:szCs w:val="22"/>
        </w:rPr>
        <w:br/>
      </w:r>
      <w:r w:rsidRPr="00F26696">
        <w:rPr>
          <w:rFonts w:ascii="Gill Sans MT" w:hAnsi="Gill Sans MT"/>
          <w:b/>
          <w:bCs/>
          <w:sz w:val="22"/>
          <w:szCs w:val="22"/>
        </w:rPr>
        <w:br/>
      </w:r>
      <w:r w:rsidRPr="00F26696">
        <w:rPr>
          <w:rFonts w:ascii="Gill Sans MT" w:hAnsi="Gill Sans MT"/>
          <w:b/>
          <w:bCs/>
          <w:sz w:val="28"/>
          <w:szCs w:val="28"/>
        </w:rPr>
        <w:t>Project Background</w:t>
      </w:r>
    </w:p>
    <w:p w14:paraId="6232CD8C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The business has been experiencing missed sales opportunities during high-demand months and capital tied up in excess stock during low-demand periods. Current Sales &amp; Operations Planning (S&amp;OP) relies heavily on historical averages, which has led to poor month-by-month alignment between demand and supply.  This creates </w:t>
      </w:r>
      <w:r w:rsidRPr="00F26696">
        <w:rPr>
          <w:rFonts w:ascii="Gill Sans MT" w:hAnsi="Gill Sans MT"/>
          <w:b/>
          <w:bCs/>
          <w:sz w:val="22"/>
          <w:szCs w:val="22"/>
        </w:rPr>
        <w:t>service-level volatility</w:t>
      </w:r>
      <w:r w:rsidRPr="00F26696">
        <w:rPr>
          <w:rFonts w:ascii="Gill Sans MT" w:hAnsi="Gill Sans MT"/>
          <w:sz w:val="22"/>
          <w:szCs w:val="22"/>
        </w:rPr>
        <w:t xml:space="preserve"> where some months overserve customers while others result in unfilled orders.</w:t>
      </w:r>
    </w:p>
    <w:p w14:paraId="520457E3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This project focuses on:</w:t>
      </w:r>
    </w:p>
    <w:p w14:paraId="0BAC8C1D" w14:textId="77777777" w:rsidR="000F453B" w:rsidRPr="00F26696" w:rsidRDefault="000F453B" w:rsidP="000F453B">
      <w:pPr>
        <w:numPr>
          <w:ilvl w:val="0"/>
          <w:numId w:val="20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Analysing historical demand vs. supply trends.</w:t>
      </w:r>
    </w:p>
    <w:p w14:paraId="7587F68B" w14:textId="77777777" w:rsidR="000F453B" w:rsidRPr="00F26696" w:rsidRDefault="000F453B" w:rsidP="000F453B">
      <w:pPr>
        <w:numPr>
          <w:ilvl w:val="0"/>
          <w:numId w:val="20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Building a</w:t>
      </w:r>
      <w:r>
        <w:rPr>
          <w:rFonts w:ascii="Gill Sans MT" w:hAnsi="Gill Sans MT"/>
          <w:sz w:val="22"/>
          <w:szCs w:val="22"/>
        </w:rPr>
        <w:t>n</w:t>
      </w:r>
      <w:r w:rsidRPr="00F26696">
        <w:rPr>
          <w:rFonts w:ascii="Gill Sans MT" w:hAnsi="Gill Sans MT"/>
          <w:sz w:val="22"/>
          <w:szCs w:val="22"/>
        </w:rPr>
        <w:t xml:space="preserve"> 18-month rolling demand forecast using statistical modelling.</w:t>
      </w:r>
    </w:p>
    <w:p w14:paraId="7C0A33AB" w14:textId="77777777" w:rsidR="000F453B" w:rsidRPr="00F26696" w:rsidRDefault="000F453B" w:rsidP="000F453B">
      <w:pPr>
        <w:numPr>
          <w:ilvl w:val="0"/>
          <w:numId w:val="20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Projecting future gaps to inform production and procurement alignment.</w:t>
      </w:r>
    </w:p>
    <w:p w14:paraId="2E6D2D05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 </w:t>
      </w:r>
    </w:p>
    <w:p w14:paraId="2D64E312" w14:textId="77777777" w:rsidR="000F453B" w:rsidRPr="00F26696" w:rsidRDefault="000F453B" w:rsidP="000F453B">
      <w:pPr>
        <w:rPr>
          <w:rFonts w:ascii="Gill Sans MT" w:hAnsi="Gill Sans MT"/>
          <w:sz w:val="28"/>
          <w:szCs w:val="28"/>
        </w:rPr>
      </w:pPr>
      <w:r w:rsidRPr="00F26696">
        <w:rPr>
          <w:rFonts w:ascii="Gill Sans MT" w:hAnsi="Gill Sans MT"/>
          <w:b/>
          <w:bCs/>
          <w:sz w:val="28"/>
          <w:szCs w:val="28"/>
        </w:rPr>
        <w:t>Executive Summary</w:t>
      </w:r>
    </w:p>
    <w:p w14:paraId="1268039B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The </w:t>
      </w:r>
      <w:r w:rsidRPr="00F26696">
        <w:rPr>
          <w:rFonts w:ascii="Gill Sans MT" w:hAnsi="Gill Sans MT"/>
          <w:b/>
          <w:bCs/>
          <w:sz w:val="22"/>
          <w:szCs w:val="22"/>
        </w:rPr>
        <w:t>18-month forecast</w:t>
      </w:r>
      <w:r w:rsidRPr="00F26696">
        <w:rPr>
          <w:rFonts w:ascii="Gill Sans MT" w:hAnsi="Gill Sans MT"/>
          <w:sz w:val="22"/>
          <w:szCs w:val="22"/>
        </w:rPr>
        <w:t xml:space="preserve"> projects:</w:t>
      </w:r>
    </w:p>
    <w:p w14:paraId="3B5F1186" w14:textId="77777777" w:rsidR="000F453B" w:rsidRPr="00F26696" w:rsidRDefault="000F453B" w:rsidP="000F453B">
      <w:pPr>
        <w:numPr>
          <w:ilvl w:val="0"/>
          <w:numId w:val="2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Total Demand (Jul 2025–Dec 2026):</w:t>
      </w:r>
      <w:r w:rsidRPr="00F26696">
        <w:rPr>
          <w:rFonts w:ascii="Gill Sans MT" w:hAnsi="Gill Sans MT"/>
          <w:sz w:val="22"/>
          <w:szCs w:val="22"/>
        </w:rPr>
        <w:t xml:space="preserve"> 8,807,000 units</w:t>
      </w:r>
    </w:p>
    <w:p w14:paraId="49300EB5" w14:textId="77777777" w:rsidR="000F453B" w:rsidRPr="00F26696" w:rsidRDefault="000F453B" w:rsidP="000F453B">
      <w:pPr>
        <w:numPr>
          <w:ilvl w:val="0"/>
          <w:numId w:val="2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Total Supply:</w:t>
      </w:r>
      <w:r w:rsidRPr="00F26696">
        <w:rPr>
          <w:rFonts w:ascii="Gill Sans MT" w:hAnsi="Gill Sans MT"/>
          <w:sz w:val="22"/>
          <w:szCs w:val="22"/>
        </w:rPr>
        <w:t xml:space="preserve"> 8,658,000 units</w:t>
      </w:r>
    </w:p>
    <w:p w14:paraId="53B1051A" w14:textId="77777777" w:rsidR="000F453B" w:rsidRPr="00F26696" w:rsidRDefault="000F453B" w:rsidP="000F453B">
      <w:pPr>
        <w:numPr>
          <w:ilvl w:val="0"/>
          <w:numId w:val="2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Net Shortfall:</w:t>
      </w:r>
      <w:r w:rsidRPr="00F26696">
        <w:rPr>
          <w:rFonts w:ascii="Gill Sans MT" w:hAnsi="Gill Sans MT"/>
          <w:sz w:val="22"/>
          <w:szCs w:val="22"/>
        </w:rPr>
        <w:t xml:space="preserve"> 148,721 units (~1.7% of total demand)</w:t>
      </w:r>
    </w:p>
    <w:p w14:paraId="491D9DFF" w14:textId="77777777" w:rsidR="000F453B" w:rsidRPr="00F26696" w:rsidRDefault="000F453B" w:rsidP="000F453B">
      <w:pPr>
        <w:numPr>
          <w:ilvl w:val="0"/>
          <w:numId w:val="2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Average Service Level:</w:t>
      </w:r>
      <w:r w:rsidRPr="00F26696">
        <w:rPr>
          <w:rFonts w:ascii="Gill Sans MT" w:hAnsi="Gill Sans MT"/>
          <w:sz w:val="22"/>
          <w:szCs w:val="22"/>
        </w:rPr>
        <w:t xml:space="preserve"> 97.3%</w:t>
      </w:r>
    </w:p>
    <w:p w14:paraId="10431A87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While a 97.3% service level might appear strong at first glance, the monthly breakdown tells a different story:</w:t>
      </w:r>
    </w:p>
    <w:p w14:paraId="795D6D2E" w14:textId="77777777" w:rsidR="000F453B" w:rsidRPr="00F26696" w:rsidRDefault="000F453B" w:rsidP="000F453B">
      <w:pPr>
        <w:numPr>
          <w:ilvl w:val="0"/>
          <w:numId w:val="22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9 months</w:t>
      </w:r>
      <w:r w:rsidRPr="00F26696">
        <w:rPr>
          <w:rFonts w:ascii="Gill Sans MT" w:hAnsi="Gill Sans MT"/>
          <w:sz w:val="22"/>
          <w:szCs w:val="22"/>
        </w:rPr>
        <w:t xml:space="preserve"> are forecasted to have </w:t>
      </w:r>
      <w:r w:rsidRPr="00F26696">
        <w:rPr>
          <w:rFonts w:ascii="Gill Sans MT" w:hAnsi="Gill Sans MT"/>
          <w:b/>
          <w:bCs/>
          <w:sz w:val="22"/>
          <w:szCs w:val="22"/>
        </w:rPr>
        <w:t>shortfalls</w:t>
      </w:r>
      <w:r w:rsidRPr="00F26696">
        <w:rPr>
          <w:rFonts w:ascii="Gill Sans MT" w:hAnsi="Gill Sans MT"/>
          <w:sz w:val="22"/>
          <w:szCs w:val="22"/>
        </w:rPr>
        <w:t xml:space="preserve">, totalling </w:t>
      </w:r>
      <w:r w:rsidRPr="00F26696">
        <w:rPr>
          <w:rFonts w:ascii="Gill Sans MT" w:hAnsi="Gill Sans MT"/>
          <w:b/>
          <w:bCs/>
          <w:sz w:val="22"/>
          <w:szCs w:val="22"/>
        </w:rPr>
        <w:t>226,062 units lost</w:t>
      </w:r>
      <w:r w:rsidRPr="00F26696">
        <w:rPr>
          <w:rFonts w:ascii="Gill Sans MT" w:hAnsi="Gill Sans MT"/>
          <w:sz w:val="22"/>
          <w:szCs w:val="22"/>
        </w:rPr>
        <w:t>.</w:t>
      </w:r>
    </w:p>
    <w:p w14:paraId="10326A23" w14:textId="77777777" w:rsidR="000F453B" w:rsidRPr="00F26696" w:rsidRDefault="000F453B" w:rsidP="000F453B">
      <w:pPr>
        <w:numPr>
          <w:ilvl w:val="0"/>
          <w:numId w:val="22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9 months</w:t>
      </w:r>
      <w:r w:rsidRPr="00F26696">
        <w:rPr>
          <w:rFonts w:ascii="Gill Sans MT" w:hAnsi="Gill Sans MT"/>
          <w:sz w:val="22"/>
          <w:szCs w:val="22"/>
        </w:rPr>
        <w:t xml:space="preserve"> will have </w:t>
      </w:r>
      <w:r w:rsidRPr="00F26696">
        <w:rPr>
          <w:rFonts w:ascii="Gill Sans MT" w:hAnsi="Gill Sans MT"/>
          <w:b/>
          <w:bCs/>
          <w:sz w:val="22"/>
          <w:szCs w:val="22"/>
        </w:rPr>
        <w:t>surpluses</w:t>
      </w:r>
      <w:r w:rsidRPr="00F26696">
        <w:rPr>
          <w:rFonts w:ascii="Gill Sans MT" w:hAnsi="Gill Sans MT"/>
          <w:sz w:val="22"/>
          <w:szCs w:val="22"/>
        </w:rPr>
        <w:t xml:space="preserve">, totalling </w:t>
      </w:r>
      <w:r w:rsidRPr="00F26696">
        <w:rPr>
          <w:rFonts w:ascii="Gill Sans MT" w:hAnsi="Gill Sans MT"/>
          <w:b/>
          <w:bCs/>
          <w:sz w:val="22"/>
          <w:szCs w:val="22"/>
        </w:rPr>
        <w:t>77,341 excess units</w:t>
      </w:r>
      <w:r w:rsidRPr="00F26696">
        <w:rPr>
          <w:rFonts w:ascii="Gill Sans MT" w:hAnsi="Gill Sans MT"/>
          <w:sz w:val="22"/>
          <w:szCs w:val="22"/>
        </w:rPr>
        <w:t>.</w:t>
      </w:r>
    </w:p>
    <w:p w14:paraId="791E6DE5" w14:textId="77777777" w:rsidR="000F453B" w:rsidRPr="00F26696" w:rsidRDefault="000F453B" w:rsidP="000F453B">
      <w:pPr>
        <w:numPr>
          <w:ilvl w:val="0"/>
          <w:numId w:val="22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Surplus units in some months </w:t>
      </w:r>
      <w:r w:rsidRPr="00F26696">
        <w:rPr>
          <w:rFonts w:ascii="Gill Sans MT" w:hAnsi="Gill Sans MT"/>
          <w:b/>
          <w:bCs/>
          <w:sz w:val="22"/>
          <w:szCs w:val="22"/>
        </w:rPr>
        <w:t>cannot recover</w:t>
      </w:r>
      <w:r w:rsidRPr="00F26696">
        <w:rPr>
          <w:rFonts w:ascii="Gill Sans MT" w:hAnsi="Gill Sans MT"/>
          <w:sz w:val="22"/>
          <w:szCs w:val="22"/>
        </w:rPr>
        <w:t xml:space="preserve"> lost sales in shortfall months.</w:t>
      </w:r>
    </w:p>
    <w:p w14:paraId="1F6AD857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If each unit has a €10 gross margin, shortfall months alone could mean </w:t>
      </w:r>
      <w:r w:rsidRPr="00F26696">
        <w:rPr>
          <w:rFonts w:ascii="Gill Sans MT" w:hAnsi="Gill Sans MT"/>
          <w:b/>
          <w:bCs/>
          <w:sz w:val="22"/>
          <w:szCs w:val="22"/>
        </w:rPr>
        <w:t xml:space="preserve">€2.26M in lost margin, </w:t>
      </w:r>
      <w:r w:rsidRPr="00F26696">
        <w:rPr>
          <w:rFonts w:ascii="Gill Sans MT" w:hAnsi="Gill Sans MT"/>
          <w:sz w:val="22"/>
          <w:szCs w:val="22"/>
        </w:rPr>
        <w:t>a far greater impact than the working capital tied up in surplus months.</w:t>
      </w:r>
    </w:p>
    <w:p w14:paraId="60FA35AE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Key Numbers:</w:t>
      </w:r>
    </w:p>
    <w:p w14:paraId="79EA3743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2E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642"/>
        <w:gridCol w:w="1450"/>
        <w:gridCol w:w="1184"/>
        <w:gridCol w:w="1617"/>
      </w:tblGrid>
      <w:tr w:rsidR="000F453B" w:rsidRPr="00F26696" w14:paraId="4B764208" w14:textId="77777777" w:rsidTr="005E302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29570A7D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0B3A2EB6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Demand (units)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521EB2AA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Supply (units)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7EB90696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Gap (units)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1B3E98BD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Service Level %</w:t>
            </w:r>
          </w:p>
        </w:tc>
      </w:tr>
      <w:tr w:rsidR="000F453B" w:rsidRPr="00F26696" w14:paraId="494191B2" w14:textId="77777777" w:rsidTr="005E30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12D00FAA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52F5AFAB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6,053,271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366114D4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5,940,136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4568DD76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113,135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6304C68A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98.13%</w:t>
            </w:r>
          </w:p>
        </w:tc>
      </w:tr>
      <w:tr w:rsidR="000F453B" w:rsidRPr="00F26696" w14:paraId="0EFF50F5" w14:textId="77777777" w:rsidTr="005E30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737F3347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lastRenderedPageBreak/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71DF0DEC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5,893,578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1525FC91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6,008,625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6D56F474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-115,047 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3BED05AB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101.95%</w:t>
            </w:r>
          </w:p>
        </w:tc>
      </w:tr>
      <w:tr w:rsidR="000F453B" w:rsidRPr="00F26696" w14:paraId="033F96D5" w14:textId="77777777" w:rsidTr="005E30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73D186B1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48291D46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5,965,198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6C54F2B3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6,026,234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11EFA8ED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-61,036 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32305527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101.02%</w:t>
            </w:r>
          </w:p>
        </w:tc>
      </w:tr>
      <w:tr w:rsidR="000F453B" w:rsidRPr="00F26696" w14:paraId="199CF1DE" w14:textId="77777777" w:rsidTr="005E30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398A1ECE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H2 2025 (forecast)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02CC8BE0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3,279,456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7C1EBBFB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3,289,871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421E8173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-10,415 (E)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2758ED86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100.33%</w:t>
            </w:r>
          </w:p>
        </w:tc>
      </w:tr>
      <w:tr w:rsidR="000F453B" w:rsidRPr="00F26696" w14:paraId="33F0E799" w14:textId="77777777" w:rsidTr="005E30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34F7905D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2026 (forecast)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186A1AE7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5,527,579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3996BE99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5,368,873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671AD3A3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158,706 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2E0F4"/>
            <w:vAlign w:val="center"/>
            <w:hideMark/>
          </w:tcPr>
          <w:p w14:paraId="0B360F2D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97.13%</w:t>
            </w:r>
          </w:p>
        </w:tc>
      </w:tr>
    </w:tbl>
    <w:p w14:paraId="3BF19F8A" w14:textId="77777777" w:rsidR="000F453B" w:rsidRDefault="000F453B" w:rsidP="000F453B">
      <w:pPr>
        <w:rPr>
          <w:rFonts w:ascii="Gill Sans MT" w:hAnsi="Gill Sans MT"/>
          <w:sz w:val="28"/>
          <w:szCs w:val="28"/>
        </w:rPr>
      </w:pPr>
    </w:p>
    <w:p w14:paraId="3F824B7F" w14:textId="77777777" w:rsidR="000F453B" w:rsidRDefault="000F453B" w:rsidP="000F453B">
      <w:pPr>
        <w:rPr>
          <w:rFonts w:ascii="Gill Sans MT" w:hAnsi="Gill Sans MT"/>
          <w:sz w:val="28"/>
          <w:szCs w:val="28"/>
        </w:rPr>
      </w:pPr>
    </w:p>
    <w:p w14:paraId="0497233A" w14:textId="77777777" w:rsidR="000F453B" w:rsidRPr="00F26696" w:rsidRDefault="000F453B" w:rsidP="000F453B">
      <w:pPr>
        <w:rPr>
          <w:rFonts w:ascii="Gill Sans MT" w:hAnsi="Gill Sans MT"/>
          <w:sz w:val="28"/>
          <w:szCs w:val="28"/>
        </w:rPr>
      </w:pPr>
      <w:r w:rsidRPr="00F26696">
        <w:rPr>
          <w:rFonts w:ascii="Gill Sans MT" w:hAnsi="Gill Sans MT"/>
          <w:b/>
          <w:bCs/>
          <w:sz w:val="28"/>
          <w:szCs w:val="28"/>
        </w:rPr>
        <w:t>Insights Deep Dive:</w:t>
      </w:r>
    </w:p>
    <w:p w14:paraId="352F249D" w14:textId="77777777" w:rsidR="000F453B" w:rsidRPr="00F26696" w:rsidRDefault="000F453B" w:rsidP="000F453B">
      <w:pPr>
        <w:pStyle w:val="ListParagraph"/>
        <w:numPr>
          <w:ilvl w:val="1"/>
          <w:numId w:val="2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Historical Demand vs. Supply Analysis</w:t>
      </w:r>
    </w:p>
    <w:p w14:paraId="6C9C6BE1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drawing>
          <wp:inline distT="0" distB="0" distL="0" distR="0" wp14:anchorId="6A21AADC" wp14:editId="28A4BACD">
            <wp:extent cx="5715000" cy="2438400"/>
            <wp:effectExtent l="0" t="0" r="0" b="0"/>
            <wp:docPr id="1290346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9691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 </w:t>
      </w:r>
    </w:p>
    <w:p w14:paraId="01140E06" w14:textId="77777777" w:rsidR="000F453B" w:rsidRPr="00F26696" w:rsidRDefault="000F453B" w:rsidP="000F453B">
      <w:pPr>
        <w:numPr>
          <w:ilvl w:val="0"/>
          <w:numId w:val="23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Demand seasonality:</w:t>
      </w:r>
      <w:r w:rsidRPr="00F26696">
        <w:rPr>
          <w:rFonts w:ascii="Gill Sans MT" w:hAnsi="Gill Sans MT"/>
          <w:sz w:val="22"/>
          <w:szCs w:val="22"/>
        </w:rPr>
        <w:t xml:space="preserve"> recurring peaks around </w:t>
      </w:r>
      <w:r w:rsidRPr="00F26696">
        <w:rPr>
          <w:rFonts w:ascii="Gill Sans MT" w:hAnsi="Gill Sans MT"/>
          <w:b/>
          <w:bCs/>
          <w:sz w:val="22"/>
          <w:szCs w:val="22"/>
        </w:rPr>
        <w:t>Feb–Apr</w:t>
      </w:r>
      <w:r w:rsidRPr="00F26696">
        <w:rPr>
          <w:rFonts w:ascii="Gill Sans MT" w:hAnsi="Gill Sans MT"/>
          <w:sz w:val="22"/>
          <w:szCs w:val="22"/>
        </w:rPr>
        <w:t xml:space="preserve"> and </w:t>
      </w:r>
      <w:r w:rsidRPr="00F26696">
        <w:rPr>
          <w:rFonts w:ascii="Gill Sans MT" w:hAnsi="Gill Sans MT"/>
          <w:b/>
          <w:bCs/>
          <w:sz w:val="22"/>
          <w:szCs w:val="22"/>
        </w:rPr>
        <w:t>Aug–Sep</w:t>
      </w:r>
      <w:r w:rsidRPr="00F26696">
        <w:rPr>
          <w:rFonts w:ascii="Gill Sans MT" w:hAnsi="Gill Sans MT"/>
          <w:sz w:val="22"/>
          <w:szCs w:val="22"/>
        </w:rPr>
        <w:t xml:space="preserve"> in the historical series. These are consistent annually and are likely linked to promotional, cultural, or weather-related consumption patterns.</w:t>
      </w:r>
    </w:p>
    <w:p w14:paraId="796AAB62" w14:textId="77777777" w:rsidR="000F453B" w:rsidRPr="00F26696" w:rsidRDefault="000F453B" w:rsidP="000F453B">
      <w:pPr>
        <w:numPr>
          <w:ilvl w:val="0"/>
          <w:numId w:val="23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Supply seasonality:</w:t>
      </w:r>
      <w:r w:rsidRPr="00F26696">
        <w:rPr>
          <w:rFonts w:ascii="Gill Sans MT" w:hAnsi="Gill Sans MT"/>
          <w:sz w:val="22"/>
          <w:szCs w:val="22"/>
        </w:rPr>
        <w:t xml:space="preserve"> supply shows similar seasonality but tends to </w:t>
      </w:r>
      <w:r w:rsidRPr="00F26696">
        <w:rPr>
          <w:rFonts w:ascii="Gill Sans MT" w:hAnsi="Gill Sans MT"/>
          <w:b/>
          <w:bCs/>
          <w:sz w:val="22"/>
          <w:szCs w:val="22"/>
        </w:rPr>
        <w:t>lag demand by</w:t>
      </w:r>
      <w:r w:rsidRPr="00F26696">
        <w:rPr>
          <w:rFonts w:ascii="Gill Sans MT" w:hAnsi="Gill Sans MT"/>
          <w:sz w:val="22"/>
          <w:szCs w:val="22"/>
        </w:rPr>
        <w:t xml:space="preserve"> </w:t>
      </w:r>
      <w:r w:rsidRPr="00F26696">
        <w:rPr>
          <w:rFonts w:ascii="Gill Sans MT" w:hAnsi="Gill Sans MT"/>
          <w:b/>
          <w:bCs/>
          <w:sz w:val="22"/>
          <w:szCs w:val="22"/>
        </w:rPr>
        <w:t>1 month</w:t>
      </w:r>
      <w:r w:rsidRPr="00F26696">
        <w:rPr>
          <w:rFonts w:ascii="Gill Sans MT" w:hAnsi="Gill Sans MT"/>
          <w:sz w:val="22"/>
          <w:szCs w:val="22"/>
        </w:rPr>
        <w:t xml:space="preserve"> in many cycles, indicating supply reacts to earlier demand rather than anticipating it</w:t>
      </w:r>
    </w:p>
    <w:p w14:paraId="0C3DB914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lastRenderedPageBreak/>
        <w:drawing>
          <wp:inline distT="0" distB="0" distL="0" distR="0" wp14:anchorId="529F0E22" wp14:editId="3AEE0904">
            <wp:extent cx="5715000" cy="2019300"/>
            <wp:effectExtent l="0" t="0" r="0" b="0"/>
            <wp:docPr id="1391704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F7A1" w14:textId="77777777" w:rsidR="000F453B" w:rsidRPr="00F26696" w:rsidRDefault="000F453B" w:rsidP="000F453B">
      <w:pPr>
        <w:numPr>
          <w:ilvl w:val="0"/>
          <w:numId w:val="24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Service-level chart:</w:t>
      </w:r>
      <w:r w:rsidRPr="00F26696">
        <w:rPr>
          <w:rFonts w:ascii="Gill Sans MT" w:hAnsi="Gill Sans MT"/>
          <w:sz w:val="22"/>
          <w:szCs w:val="22"/>
        </w:rPr>
        <w:t xml:space="preserve"> Historical service over the past year hovered near or slightly above 100% on average (because surpluses offset shortfalls across the year), but the </w:t>
      </w:r>
      <w:r w:rsidRPr="00F26696">
        <w:rPr>
          <w:rFonts w:ascii="Gill Sans MT" w:hAnsi="Gill Sans MT"/>
          <w:b/>
          <w:bCs/>
          <w:sz w:val="22"/>
          <w:szCs w:val="22"/>
        </w:rPr>
        <w:t>2025 monthly service-level forecast drops in multiple months to the low 90s or high 80s</w:t>
      </w:r>
      <w:r w:rsidRPr="00F26696">
        <w:rPr>
          <w:rFonts w:ascii="Gill Sans MT" w:hAnsi="Gill Sans MT"/>
          <w:sz w:val="22"/>
          <w:szCs w:val="22"/>
        </w:rPr>
        <w:t>, meaning many orders could go unfilled unless supply is increased.</w:t>
      </w:r>
    </w:p>
    <w:p w14:paraId="7BB59A46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 </w:t>
      </w:r>
    </w:p>
    <w:p w14:paraId="00EC77E1" w14:textId="77777777" w:rsidR="000F453B" w:rsidRPr="00F26696" w:rsidRDefault="000F453B" w:rsidP="000F453B">
      <w:pPr>
        <w:pStyle w:val="ListParagraph"/>
        <w:numPr>
          <w:ilvl w:val="1"/>
          <w:numId w:val="2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Forecasted Risks</w:t>
      </w:r>
    </w:p>
    <w:p w14:paraId="0ABF9D60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drawing>
          <wp:inline distT="0" distB="0" distL="0" distR="0" wp14:anchorId="58DCB00D" wp14:editId="255AB525">
            <wp:extent cx="5715000" cy="2425700"/>
            <wp:effectExtent l="0" t="0" r="0" b="0"/>
            <wp:docPr id="1235559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2CE9" w14:textId="77777777" w:rsidR="000F453B" w:rsidRPr="00F26696" w:rsidRDefault="000F453B" w:rsidP="000F453B">
      <w:pPr>
        <w:numPr>
          <w:ilvl w:val="0"/>
          <w:numId w:val="25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Deficit months</w:t>
      </w:r>
      <w:r w:rsidRPr="00F26696">
        <w:rPr>
          <w:rFonts w:ascii="Gill Sans MT" w:hAnsi="Gill Sans MT"/>
          <w:sz w:val="22"/>
          <w:szCs w:val="22"/>
        </w:rPr>
        <w:t xml:space="preserve">: Jun–Sep 2026 are the largest risk, with monthly gaps up to </w:t>
      </w:r>
      <w:r w:rsidRPr="00F26696">
        <w:rPr>
          <w:rFonts w:ascii="Gill Sans MT" w:hAnsi="Gill Sans MT"/>
          <w:b/>
          <w:bCs/>
          <w:sz w:val="22"/>
          <w:szCs w:val="22"/>
        </w:rPr>
        <w:t>21,943 units</w:t>
      </w:r>
      <w:r w:rsidRPr="00F26696">
        <w:rPr>
          <w:rFonts w:ascii="Gill Sans MT" w:hAnsi="Gill Sans MT"/>
          <w:sz w:val="22"/>
          <w:szCs w:val="22"/>
        </w:rPr>
        <w:t xml:space="preserve"> (Jun 2026).</w:t>
      </w:r>
    </w:p>
    <w:p w14:paraId="0598E577" w14:textId="77777777" w:rsidR="000F453B" w:rsidRPr="00F26696" w:rsidRDefault="000F453B" w:rsidP="000F453B">
      <w:pPr>
        <w:numPr>
          <w:ilvl w:val="0"/>
          <w:numId w:val="25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Surplus months</w:t>
      </w:r>
      <w:r w:rsidRPr="00F26696">
        <w:rPr>
          <w:rFonts w:ascii="Gill Sans MT" w:hAnsi="Gill Sans MT"/>
          <w:sz w:val="22"/>
          <w:szCs w:val="22"/>
        </w:rPr>
        <w:t>: Oct–Dec 2025 and Oct–Dec 2026 produce modest overstock (8–13k units/month).</w:t>
      </w:r>
    </w:p>
    <w:p w14:paraId="55A7B702" w14:textId="77777777" w:rsidR="000F453B" w:rsidRPr="00F26696" w:rsidRDefault="000F453B" w:rsidP="000F453B">
      <w:pPr>
        <w:numPr>
          <w:ilvl w:val="0"/>
          <w:numId w:val="25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The timing mismatch means surplus stock is often </w:t>
      </w:r>
      <w:r w:rsidRPr="00F26696">
        <w:rPr>
          <w:rFonts w:ascii="Gill Sans MT" w:hAnsi="Gill Sans MT"/>
          <w:b/>
          <w:bCs/>
          <w:sz w:val="22"/>
          <w:szCs w:val="22"/>
        </w:rPr>
        <w:t>too late</w:t>
      </w:r>
      <w:r w:rsidRPr="00F26696">
        <w:rPr>
          <w:rFonts w:ascii="Gill Sans MT" w:hAnsi="Gill Sans MT"/>
          <w:sz w:val="22"/>
          <w:szCs w:val="22"/>
        </w:rPr>
        <w:t xml:space="preserve"> to meet earlier peaks.</w:t>
      </w:r>
    </w:p>
    <w:p w14:paraId="1E24AB15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 </w:t>
      </w:r>
    </w:p>
    <w:p w14:paraId="7FC418EB" w14:textId="77777777" w:rsidR="000F453B" w:rsidRPr="00F26696" w:rsidRDefault="000F453B" w:rsidP="000F453B">
      <w:pPr>
        <w:pStyle w:val="ListParagraph"/>
        <w:numPr>
          <w:ilvl w:val="1"/>
          <w:numId w:val="21"/>
        </w:numPr>
        <w:rPr>
          <w:rFonts w:ascii="Gill Sans MT" w:hAnsi="Gill Sans MT"/>
          <w:b/>
          <w:bCs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Model Accuracy — How well does the model perform?</w:t>
      </w:r>
    </w:p>
    <w:p w14:paraId="20FCFCD7" w14:textId="77777777" w:rsidR="000F453B" w:rsidRPr="00F26696" w:rsidRDefault="000F453B" w:rsidP="000F453B">
      <w:pPr>
        <w:ind w:left="720"/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To estimate accuracy the first 6 months of 2025 was held out as a test set and trained SARIMA on data through Dec 2024.</w:t>
      </w:r>
    </w:p>
    <w:tbl>
      <w:tblPr>
        <w:tblpPr w:leftFromText="180" w:rightFromText="180" w:horzAnchor="margin" w:tblpXSpec="center" w:tblpY="-21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638"/>
        <w:gridCol w:w="1461"/>
      </w:tblGrid>
      <w:tr w:rsidR="000F453B" w:rsidRPr="00F26696" w14:paraId="6C4CF305" w14:textId="77777777" w:rsidTr="005E3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C752F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55A864F0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Demand Model</w:t>
            </w:r>
          </w:p>
        </w:tc>
        <w:tc>
          <w:tcPr>
            <w:tcW w:w="0" w:type="auto"/>
            <w:vAlign w:val="center"/>
            <w:hideMark/>
          </w:tcPr>
          <w:p w14:paraId="3835355D" w14:textId="77777777" w:rsidR="000F453B" w:rsidRPr="00F26696" w:rsidRDefault="000F453B" w:rsidP="005E3028">
            <w:pPr>
              <w:rPr>
                <w:rFonts w:ascii="Gill Sans MT" w:hAnsi="Gill Sans MT"/>
                <w:b/>
                <w:bCs/>
                <w:sz w:val="22"/>
                <w:szCs w:val="22"/>
              </w:rPr>
            </w:pPr>
            <w:r w:rsidRPr="00F26696">
              <w:rPr>
                <w:rFonts w:ascii="Gill Sans MT" w:hAnsi="Gill Sans MT"/>
                <w:b/>
                <w:bCs/>
                <w:sz w:val="22"/>
                <w:szCs w:val="22"/>
              </w:rPr>
              <w:t>Supply Model</w:t>
            </w:r>
          </w:p>
        </w:tc>
      </w:tr>
      <w:tr w:rsidR="000F453B" w:rsidRPr="00F26696" w14:paraId="74DDC3FA" w14:textId="77777777" w:rsidTr="005E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F688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MAPE</w:t>
            </w:r>
          </w:p>
        </w:tc>
        <w:tc>
          <w:tcPr>
            <w:tcW w:w="0" w:type="auto"/>
            <w:vAlign w:val="center"/>
            <w:hideMark/>
          </w:tcPr>
          <w:p w14:paraId="1BE5B904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3.74%</w:t>
            </w:r>
          </w:p>
        </w:tc>
        <w:tc>
          <w:tcPr>
            <w:tcW w:w="0" w:type="auto"/>
            <w:vAlign w:val="center"/>
            <w:hideMark/>
          </w:tcPr>
          <w:p w14:paraId="56F7A0B9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2.80%</w:t>
            </w:r>
          </w:p>
        </w:tc>
      </w:tr>
      <w:tr w:rsidR="000F453B" w:rsidRPr="00F26696" w14:paraId="1DDE50D6" w14:textId="77777777" w:rsidTr="005E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47CD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RMSE (units)</w:t>
            </w:r>
          </w:p>
        </w:tc>
        <w:tc>
          <w:tcPr>
            <w:tcW w:w="0" w:type="auto"/>
            <w:vAlign w:val="center"/>
            <w:hideMark/>
          </w:tcPr>
          <w:p w14:paraId="71337895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20,967</w:t>
            </w:r>
          </w:p>
        </w:tc>
        <w:tc>
          <w:tcPr>
            <w:tcW w:w="0" w:type="auto"/>
            <w:vAlign w:val="center"/>
            <w:hideMark/>
          </w:tcPr>
          <w:p w14:paraId="5EA5E8BC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15,911</w:t>
            </w:r>
          </w:p>
        </w:tc>
      </w:tr>
      <w:tr w:rsidR="000F453B" w:rsidRPr="00F26696" w14:paraId="00C3576E" w14:textId="77777777" w:rsidTr="005E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E1BA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6613A16B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-0.246</w:t>
            </w:r>
          </w:p>
        </w:tc>
        <w:tc>
          <w:tcPr>
            <w:tcW w:w="0" w:type="auto"/>
            <w:vAlign w:val="center"/>
            <w:hideMark/>
          </w:tcPr>
          <w:p w14:paraId="1A2461A9" w14:textId="77777777" w:rsidR="000F453B" w:rsidRPr="00F26696" w:rsidRDefault="000F453B" w:rsidP="005E3028">
            <w:pPr>
              <w:rPr>
                <w:rFonts w:ascii="Gill Sans MT" w:hAnsi="Gill Sans MT"/>
                <w:sz w:val="22"/>
                <w:szCs w:val="22"/>
              </w:rPr>
            </w:pPr>
            <w:r w:rsidRPr="00F26696">
              <w:rPr>
                <w:rFonts w:ascii="Gill Sans MT" w:hAnsi="Gill Sans MT"/>
                <w:sz w:val="22"/>
                <w:szCs w:val="22"/>
              </w:rPr>
              <w:t>0.074</w:t>
            </w:r>
          </w:p>
        </w:tc>
      </w:tr>
    </w:tbl>
    <w:p w14:paraId="60FDD1EE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</w:p>
    <w:p w14:paraId="046B6F6F" w14:textId="77777777" w:rsidR="000F453B" w:rsidRDefault="000F453B" w:rsidP="000F453B">
      <w:pPr>
        <w:ind w:left="360"/>
        <w:rPr>
          <w:rFonts w:ascii="Gill Sans MT" w:hAnsi="Gill Sans MT"/>
          <w:sz w:val="22"/>
          <w:szCs w:val="22"/>
        </w:rPr>
      </w:pPr>
    </w:p>
    <w:p w14:paraId="289E9758" w14:textId="77777777" w:rsidR="000F453B" w:rsidRDefault="000F453B" w:rsidP="000F453B">
      <w:pPr>
        <w:ind w:left="360"/>
        <w:rPr>
          <w:rFonts w:ascii="Gill Sans MT" w:hAnsi="Gill Sans MT"/>
          <w:sz w:val="22"/>
          <w:szCs w:val="22"/>
        </w:rPr>
      </w:pPr>
    </w:p>
    <w:p w14:paraId="6720D046" w14:textId="77777777" w:rsidR="000F453B" w:rsidRDefault="000F453B" w:rsidP="000F453B">
      <w:pPr>
        <w:ind w:left="360"/>
        <w:rPr>
          <w:rFonts w:ascii="Gill Sans MT" w:hAnsi="Gill Sans MT"/>
          <w:sz w:val="22"/>
          <w:szCs w:val="22"/>
        </w:rPr>
      </w:pPr>
    </w:p>
    <w:p w14:paraId="70E30E4E" w14:textId="77777777" w:rsidR="000F453B" w:rsidRDefault="000F453B" w:rsidP="000F453B">
      <w:pPr>
        <w:ind w:left="360"/>
        <w:rPr>
          <w:rFonts w:ascii="Gill Sans MT" w:hAnsi="Gill Sans MT"/>
          <w:sz w:val="22"/>
          <w:szCs w:val="22"/>
        </w:rPr>
      </w:pPr>
    </w:p>
    <w:p w14:paraId="51A8B05C" w14:textId="77777777" w:rsidR="000F453B" w:rsidRPr="00F26696" w:rsidRDefault="000F453B" w:rsidP="000F453B">
      <w:pPr>
        <w:pStyle w:val="ListParagraph"/>
        <w:numPr>
          <w:ilvl w:val="0"/>
          <w:numId w:val="3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MAPE &lt; 5% indicates strong predictive accuracy for monthly forecasts.</w:t>
      </w:r>
    </w:p>
    <w:p w14:paraId="4F829429" w14:textId="77777777" w:rsidR="000F453B" w:rsidRPr="00F26696" w:rsidRDefault="000F453B" w:rsidP="000F453B">
      <w:pPr>
        <w:pStyle w:val="ListParagraph"/>
        <w:numPr>
          <w:ilvl w:val="0"/>
          <w:numId w:val="3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RMSE gives the typical absolute error size (15-20k </w:t>
      </w:r>
      <w:proofErr w:type="gramStart"/>
      <w:r w:rsidRPr="00F26696">
        <w:rPr>
          <w:rFonts w:ascii="Gill Sans MT" w:hAnsi="Gill Sans MT"/>
          <w:sz w:val="22"/>
          <w:szCs w:val="22"/>
        </w:rPr>
        <w:t>units )</w:t>
      </w:r>
      <w:proofErr w:type="gramEnd"/>
      <w:r w:rsidRPr="00F26696">
        <w:rPr>
          <w:rFonts w:ascii="Gill Sans MT" w:hAnsi="Gill Sans MT"/>
          <w:sz w:val="22"/>
          <w:szCs w:val="22"/>
        </w:rPr>
        <w:t>.</w:t>
      </w:r>
    </w:p>
    <w:p w14:paraId="5F7AC175" w14:textId="77777777" w:rsidR="000F453B" w:rsidRPr="00F26696" w:rsidRDefault="000F453B" w:rsidP="000F453B">
      <w:pPr>
        <w:pStyle w:val="ListParagraph"/>
        <w:numPr>
          <w:ilvl w:val="0"/>
          <w:numId w:val="31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The slightly negative R² for demand is a small-sample statistical artifact; MAPE and rolling back tests confirm good fit.</w:t>
      </w:r>
    </w:p>
    <w:p w14:paraId="035C9A2C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 </w:t>
      </w:r>
    </w:p>
    <w:p w14:paraId="12933658" w14:textId="77777777" w:rsidR="000F453B" w:rsidRPr="00F26696" w:rsidRDefault="000F453B" w:rsidP="000F453B">
      <w:pPr>
        <w:rPr>
          <w:rFonts w:ascii="Gill Sans MT" w:hAnsi="Gill Sans MT"/>
          <w:b/>
          <w:bCs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Why SARIMA was used</w:t>
      </w:r>
    </w:p>
    <w:p w14:paraId="349895D3" w14:textId="77777777" w:rsidR="000F453B" w:rsidRPr="00F26696" w:rsidRDefault="000F453B" w:rsidP="000F453B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The data shows </w:t>
      </w:r>
      <w:r w:rsidRPr="00F26696">
        <w:rPr>
          <w:rFonts w:ascii="Gill Sans MT" w:hAnsi="Gill Sans MT"/>
          <w:b/>
          <w:bCs/>
          <w:sz w:val="22"/>
          <w:szCs w:val="22"/>
        </w:rPr>
        <w:t>clear, repeating annual patterns</w:t>
      </w:r>
      <w:r w:rsidRPr="00F26696">
        <w:rPr>
          <w:rFonts w:ascii="Gill Sans MT" w:hAnsi="Gill Sans MT"/>
          <w:sz w:val="22"/>
          <w:szCs w:val="22"/>
        </w:rPr>
        <w:t xml:space="preserve"> (seasonality) and a mild trend.</w:t>
      </w:r>
    </w:p>
    <w:p w14:paraId="5CB8A0E8" w14:textId="77777777" w:rsidR="000F453B" w:rsidRPr="00F26696" w:rsidRDefault="000F453B" w:rsidP="000F453B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SARIMA explicitly models </w:t>
      </w:r>
      <w:r w:rsidRPr="00F26696">
        <w:rPr>
          <w:rFonts w:ascii="Gill Sans MT" w:hAnsi="Gill Sans MT"/>
          <w:b/>
          <w:bCs/>
          <w:sz w:val="22"/>
          <w:szCs w:val="22"/>
        </w:rPr>
        <w:t>trend + seasonal cycles + short-term autocorrelation</w:t>
      </w:r>
      <w:r w:rsidRPr="00F26696">
        <w:rPr>
          <w:rFonts w:ascii="Gill Sans MT" w:hAnsi="Gill Sans MT"/>
          <w:sz w:val="22"/>
          <w:szCs w:val="22"/>
        </w:rPr>
        <w:t>, making it well suited to monthly FMCG data with yearly seasonality.</w:t>
      </w:r>
    </w:p>
    <w:p w14:paraId="3201DBA5" w14:textId="77777777" w:rsidR="000F453B" w:rsidRPr="00F26696" w:rsidRDefault="000F453B" w:rsidP="000F453B">
      <w:pPr>
        <w:numPr>
          <w:ilvl w:val="0"/>
          <w:numId w:val="26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Compared with simpler methods (single exponential smoothing), SARIMA better captures recurring peaks and troughs and thus produces more reliable month-by-month forecasts aligned to the business cycles.</w:t>
      </w:r>
    </w:p>
    <w:p w14:paraId="0C5409FC" w14:textId="77777777" w:rsidR="000F453B" w:rsidRPr="00F26696" w:rsidRDefault="000F453B" w:rsidP="000F453B">
      <w:pPr>
        <w:rPr>
          <w:rFonts w:ascii="Gill Sans MT" w:hAnsi="Gill Sans MT"/>
          <w:sz w:val="28"/>
          <w:szCs w:val="28"/>
        </w:rPr>
      </w:pPr>
      <w:r w:rsidRPr="00F26696">
        <w:rPr>
          <w:rFonts w:ascii="Gill Sans MT" w:hAnsi="Gill Sans MT"/>
          <w:sz w:val="28"/>
          <w:szCs w:val="28"/>
        </w:rPr>
        <w:t> </w:t>
      </w:r>
    </w:p>
    <w:p w14:paraId="0F0FAF23" w14:textId="77777777" w:rsidR="000F453B" w:rsidRPr="00F26696" w:rsidRDefault="000F453B" w:rsidP="000F453B">
      <w:pPr>
        <w:rPr>
          <w:rFonts w:ascii="Gill Sans MT" w:hAnsi="Gill Sans MT"/>
          <w:b/>
          <w:bCs/>
          <w:sz w:val="28"/>
          <w:szCs w:val="28"/>
          <w:u w:val="single"/>
        </w:rPr>
      </w:pPr>
      <w:r w:rsidRPr="00F26696">
        <w:rPr>
          <w:rFonts w:ascii="Gill Sans MT" w:hAnsi="Gill Sans MT"/>
          <w:b/>
          <w:bCs/>
          <w:sz w:val="28"/>
          <w:szCs w:val="28"/>
          <w:u w:val="single"/>
        </w:rPr>
        <w:t xml:space="preserve">Business implications </w:t>
      </w:r>
    </w:p>
    <w:p w14:paraId="67BE9A18" w14:textId="77777777" w:rsidR="000F453B" w:rsidRPr="00F26696" w:rsidRDefault="000F453B" w:rsidP="000F453B">
      <w:pPr>
        <w:pStyle w:val="ListParagraph"/>
        <w:numPr>
          <w:ilvl w:val="0"/>
          <w:numId w:val="30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Revenue at risk:</w:t>
      </w:r>
      <w:r w:rsidRPr="00F26696">
        <w:rPr>
          <w:rFonts w:ascii="Gill Sans MT" w:hAnsi="Gill Sans MT"/>
          <w:sz w:val="22"/>
          <w:szCs w:val="22"/>
        </w:rPr>
        <w:t xml:space="preserve"> At 97.3% service, 148k units net are at risk, but gross shortfalls are 226k</w:t>
      </w:r>
      <w:r w:rsidRPr="00F26696">
        <w:rPr>
          <w:rFonts w:ascii="Gill Sans MT" w:hAnsi="Gill Sans MT"/>
          <w:b/>
          <w:bCs/>
          <w:sz w:val="22"/>
          <w:szCs w:val="22"/>
        </w:rPr>
        <w:t xml:space="preserve"> units</w:t>
      </w:r>
      <w:r w:rsidRPr="00F26696">
        <w:rPr>
          <w:rFonts w:ascii="Gill Sans MT" w:hAnsi="Gill Sans MT"/>
          <w:sz w:val="22"/>
          <w:szCs w:val="22"/>
        </w:rPr>
        <w:t xml:space="preserve"> over 9 months. At the average margin this would materialize into significant revenue and margin loss.</w:t>
      </w:r>
    </w:p>
    <w:p w14:paraId="162A7665" w14:textId="77777777" w:rsidR="000F453B" w:rsidRPr="00F26696" w:rsidRDefault="000F453B" w:rsidP="000F453B">
      <w:pPr>
        <w:pStyle w:val="ListParagraph"/>
        <w:numPr>
          <w:ilvl w:val="0"/>
          <w:numId w:val="30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Customer experience:</w:t>
      </w:r>
      <w:r w:rsidRPr="00F26696">
        <w:rPr>
          <w:rFonts w:ascii="Gill Sans MT" w:hAnsi="Gill Sans MT"/>
          <w:sz w:val="22"/>
          <w:szCs w:val="22"/>
        </w:rPr>
        <w:t xml:space="preserve"> recurring stockouts in peak months (March/April/Jun/Sept) are high-risk for losing repeat customers and shelf presence.</w:t>
      </w:r>
    </w:p>
    <w:p w14:paraId="760CB4D7" w14:textId="77777777" w:rsidR="000F453B" w:rsidRPr="00F26696" w:rsidRDefault="000F453B" w:rsidP="000F453B">
      <w:pPr>
        <w:pStyle w:val="ListParagraph"/>
        <w:numPr>
          <w:ilvl w:val="0"/>
          <w:numId w:val="30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Working capital inefficiency:</w:t>
      </w:r>
      <w:r w:rsidRPr="00F26696">
        <w:rPr>
          <w:rFonts w:ascii="Gill Sans MT" w:hAnsi="Gill Sans MT"/>
          <w:sz w:val="22"/>
          <w:szCs w:val="22"/>
        </w:rPr>
        <w:t xml:space="preserve"> Overstock in other months ties up funds without offsetting lost peak-month sales.</w:t>
      </w:r>
    </w:p>
    <w:p w14:paraId="60828621" w14:textId="77777777" w:rsidR="000F453B" w:rsidRPr="00F26696" w:rsidRDefault="000F453B" w:rsidP="000F453B">
      <w:pPr>
        <w:rPr>
          <w:rFonts w:ascii="Gill Sans MT" w:hAnsi="Gill Sans MT"/>
          <w:b/>
          <w:bCs/>
          <w:sz w:val="28"/>
          <w:szCs w:val="28"/>
          <w:u w:val="single"/>
        </w:rPr>
      </w:pPr>
      <w:r w:rsidRPr="00F26696">
        <w:rPr>
          <w:rFonts w:ascii="Gill Sans MT" w:hAnsi="Gill Sans MT"/>
          <w:b/>
          <w:bCs/>
          <w:sz w:val="28"/>
          <w:szCs w:val="28"/>
          <w:u w:val="single"/>
        </w:rPr>
        <w:t>Recommendations (actionable, prioritized)</w:t>
      </w:r>
    </w:p>
    <w:p w14:paraId="0A607ABB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Immediate (30–90 days)</w:t>
      </w:r>
    </w:p>
    <w:p w14:paraId="32510A23" w14:textId="77777777" w:rsidR="000F453B" w:rsidRPr="00F26696" w:rsidRDefault="000F453B" w:rsidP="000F453B">
      <w:pPr>
        <w:numPr>
          <w:ilvl w:val="0"/>
          <w:numId w:val="27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Inventory Smoothing:</w:t>
      </w:r>
      <w:r w:rsidRPr="00F26696">
        <w:rPr>
          <w:rFonts w:ascii="Gill Sans MT" w:hAnsi="Gill Sans MT"/>
          <w:sz w:val="22"/>
          <w:szCs w:val="22"/>
        </w:rPr>
        <w:t xml:space="preserve"> Pre-build Oct–Dec 2025 surplus stock to cover mid-2026 deficits</w:t>
      </w:r>
    </w:p>
    <w:p w14:paraId="69FEAF03" w14:textId="77777777" w:rsidR="000F453B" w:rsidRPr="00F26696" w:rsidRDefault="000F453B" w:rsidP="000F453B">
      <w:pPr>
        <w:numPr>
          <w:ilvl w:val="0"/>
          <w:numId w:val="27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Agree a </w:t>
      </w:r>
      <w:r w:rsidRPr="00F26696">
        <w:rPr>
          <w:rFonts w:ascii="Gill Sans MT" w:hAnsi="Gill Sans MT"/>
          <w:b/>
          <w:bCs/>
          <w:sz w:val="22"/>
          <w:szCs w:val="22"/>
        </w:rPr>
        <w:t>safety stock policy</w:t>
      </w:r>
      <w:r w:rsidRPr="00F26696">
        <w:rPr>
          <w:rFonts w:ascii="Gill Sans MT" w:hAnsi="Gill Sans MT"/>
          <w:sz w:val="22"/>
          <w:szCs w:val="22"/>
        </w:rPr>
        <w:t xml:space="preserve"> for peak months: add a buffer (e.g., 15–20k units) for critical/high-volume SKUs.</w:t>
      </w:r>
    </w:p>
    <w:p w14:paraId="6A8CFF2C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Near-term (3–6 months)</w:t>
      </w:r>
    </w:p>
    <w:p w14:paraId="3E262934" w14:textId="77777777" w:rsidR="000F453B" w:rsidRPr="00F26696" w:rsidRDefault="000F453B" w:rsidP="000F453B">
      <w:pPr>
        <w:numPr>
          <w:ilvl w:val="0"/>
          <w:numId w:val="28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 xml:space="preserve">Negotiate </w:t>
      </w:r>
      <w:r w:rsidRPr="00F26696">
        <w:rPr>
          <w:rFonts w:ascii="Gill Sans MT" w:hAnsi="Gill Sans MT"/>
          <w:b/>
          <w:bCs/>
          <w:sz w:val="22"/>
          <w:szCs w:val="22"/>
        </w:rPr>
        <w:t>flex capacity</w:t>
      </w:r>
      <w:r w:rsidRPr="00F26696">
        <w:rPr>
          <w:rFonts w:ascii="Gill Sans MT" w:hAnsi="Gill Sans MT"/>
          <w:sz w:val="22"/>
          <w:szCs w:val="22"/>
        </w:rPr>
        <w:t xml:space="preserve"> clauses with suppliers or identify alternate suppliers for quick ramps.</w:t>
      </w:r>
    </w:p>
    <w:p w14:paraId="59079125" w14:textId="77777777" w:rsidR="000F453B" w:rsidRPr="00F26696" w:rsidRDefault="000F453B" w:rsidP="000F453B">
      <w:pPr>
        <w:numPr>
          <w:ilvl w:val="0"/>
          <w:numId w:val="28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lastRenderedPageBreak/>
        <w:t xml:space="preserve">Implement </w:t>
      </w:r>
      <w:r w:rsidRPr="00F26696">
        <w:rPr>
          <w:rFonts w:ascii="Gill Sans MT" w:hAnsi="Gill Sans MT"/>
          <w:b/>
          <w:bCs/>
          <w:sz w:val="22"/>
          <w:szCs w:val="22"/>
        </w:rPr>
        <w:t>monthly rolling forecasts</w:t>
      </w:r>
      <w:r w:rsidRPr="00F26696">
        <w:rPr>
          <w:rFonts w:ascii="Gill Sans MT" w:hAnsi="Gill Sans MT"/>
          <w:sz w:val="22"/>
          <w:szCs w:val="22"/>
        </w:rPr>
        <w:t xml:space="preserve"> (update SARIMA inputs with latest actuals each month) and a monthly S&amp;OP review focused on the identified peak months.</w:t>
      </w:r>
    </w:p>
    <w:p w14:paraId="12582FCE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b/>
          <w:bCs/>
          <w:sz w:val="22"/>
          <w:szCs w:val="22"/>
        </w:rPr>
        <w:t>Medium-term (6–12 months)</w:t>
      </w:r>
    </w:p>
    <w:p w14:paraId="5C2EB2DF" w14:textId="77777777" w:rsidR="000F453B" w:rsidRPr="00F26696" w:rsidRDefault="000F453B" w:rsidP="000F453B">
      <w:pPr>
        <w:numPr>
          <w:ilvl w:val="0"/>
          <w:numId w:val="29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Consider demand-shaping (timed promotions) to smooth extreme peaks and move some demand into months where supply is healthy.</w:t>
      </w:r>
    </w:p>
    <w:p w14:paraId="06910855" w14:textId="77777777" w:rsidR="000F453B" w:rsidRPr="00F26696" w:rsidRDefault="000F453B" w:rsidP="000F453B">
      <w:pPr>
        <w:numPr>
          <w:ilvl w:val="0"/>
          <w:numId w:val="29"/>
        </w:numPr>
        <w:rPr>
          <w:rFonts w:ascii="Gill Sans MT" w:hAnsi="Gill Sans MT"/>
          <w:sz w:val="22"/>
          <w:szCs w:val="22"/>
        </w:rPr>
      </w:pPr>
      <w:r w:rsidRPr="00F26696">
        <w:rPr>
          <w:rFonts w:ascii="Gill Sans MT" w:hAnsi="Gill Sans MT"/>
          <w:sz w:val="22"/>
          <w:szCs w:val="22"/>
        </w:rPr>
        <w:t>Evaluate strategic inventory (pre-build) before known peak periods.</w:t>
      </w:r>
    </w:p>
    <w:p w14:paraId="04F946E6" w14:textId="77777777" w:rsidR="000F453B" w:rsidRPr="00F26696" w:rsidRDefault="000F453B" w:rsidP="000F453B">
      <w:pPr>
        <w:rPr>
          <w:rFonts w:ascii="Gill Sans MT" w:hAnsi="Gill Sans MT"/>
          <w:sz w:val="22"/>
          <w:szCs w:val="22"/>
        </w:rPr>
      </w:pPr>
    </w:p>
    <w:p w14:paraId="0784FEB5" w14:textId="77777777" w:rsidR="00D24027" w:rsidRPr="000F453B" w:rsidRDefault="00D24027" w:rsidP="000F453B"/>
    <w:sectPr w:rsidR="00D24027" w:rsidRPr="000F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53E2"/>
    <w:multiLevelType w:val="multilevel"/>
    <w:tmpl w:val="7A8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32C4"/>
    <w:multiLevelType w:val="multilevel"/>
    <w:tmpl w:val="955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6B9F"/>
    <w:multiLevelType w:val="hybridMultilevel"/>
    <w:tmpl w:val="0C60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3B1"/>
    <w:multiLevelType w:val="multilevel"/>
    <w:tmpl w:val="7024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53096"/>
    <w:multiLevelType w:val="multilevel"/>
    <w:tmpl w:val="47D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D2F54"/>
    <w:multiLevelType w:val="hybridMultilevel"/>
    <w:tmpl w:val="D1E265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839D5"/>
    <w:multiLevelType w:val="hybridMultilevel"/>
    <w:tmpl w:val="DE725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B5AA9"/>
    <w:multiLevelType w:val="hybridMultilevel"/>
    <w:tmpl w:val="F7E4A18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0F2DE8"/>
    <w:multiLevelType w:val="multilevel"/>
    <w:tmpl w:val="989A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06F4E"/>
    <w:multiLevelType w:val="hybridMultilevel"/>
    <w:tmpl w:val="8A7AF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034F"/>
    <w:multiLevelType w:val="multilevel"/>
    <w:tmpl w:val="452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F3762"/>
    <w:multiLevelType w:val="multilevel"/>
    <w:tmpl w:val="D26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92EA2"/>
    <w:multiLevelType w:val="multilevel"/>
    <w:tmpl w:val="67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A0113"/>
    <w:multiLevelType w:val="multilevel"/>
    <w:tmpl w:val="D384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C4FF5"/>
    <w:multiLevelType w:val="hybridMultilevel"/>
    <w:tmpl w:val="78781B7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8C5338"/>
    <w:multiLevelType w:val="hybridMultilevel"/>
    <w:tmpl w:val="97786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37141"/>
    <w:multiLevelType w:val="multilevel"/>
    <w:tmpl w:val="E4E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85829"/>
    <w:multiLevelType w:val="hybridMultilevel"/>
    <w:tmpl w:val="D8A83C6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D3A6D"/>
    <w:multiLevelType w:val="multilevel"/>
    <w:tmpl w:val="487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84134"/>
    <w:multiLevelType w:val="multilevel"/>
    <w:tmpl w:val="496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373B8"/>
    <w:multiLevelType w:val="hybridMultilevel"/>
    <w:tmpl w:val="4D78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C31AD"/>
    <w:multiLevelType w:val="hybridMultilevel"/>
    <w:tmpl w:val="F6FAA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51E00"/>
    <w:multiLevelType w:val="hybridMultilevel"/>
    <w:tmpl w:val="231C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309D7"/>
    <w:multiLevelType w:val="multilevel"/>
    <w:tmpl w:val="777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676BA"/>
    <w:multiLevelType w:val="multilevel"/>
    <w:tmpl w:val="2AC0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B459B"/>
    <w:multiLevelType w:val="multilevel"/>
    <w:tmpl w:val="302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C54472"/>
    <w:multiLevelType w:val="multilevel"/>
    <w:tmpl w:val="FB2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F5B52"/>
    <w:multiLevelType w:val="hybridMultilevel"/>
    <w:tmpl w:val="2072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C415E"/>
    <w:multiLevelType w:val="hybridMultilevel"/>
    <w:tmpl w:val="E14A5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F6EBF"/>
    <w:multiLevelType w:val="multilevel"/>
    <w:tmpl w:val="DD3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2412B"/>
    <w:multiLevelType w:val="multilevel"/>
    <w:tmpl w:val="AB84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519811">
    <w:abstractNumId w:val="24"/>
  </w:num>
  <w:num w:numId="2" w16cid:durableId="692342789">
    <w:abstractNumId w:val="4"/>
  </w:num>
  <w:num w:numId="3" w16cid:durableId="1562597492">
    <w:abstractNumId w:val="10"/>
  </w:num>
  <w:num w:numId="4" w16cid:durableId="570967677">
    <w:abstractNumId w:val="8"/>
  </w:num>
  <w:num w:numId="5" w16cid:durableId="1104307082">
    <w:abstractNumId w:val="30"/>
  </w:num>
  <w:num w:numId="6" w16cid:durableId="292365455">
    <w:abstractNumId w:val="12"/>
  </w:num>
  <w:num w:numId="7" w16cid:durableId="1973055476">
    <w:abstractNumId w:val="25"/>
  </w:num>
  <w:num w:numId="8" w16cid:durableId="199562271">
    <w:abstractNumId w:val="13"/>
  </w:num>
  <w:num w:numId="9" w16cid:durableId="431366773">
    <w:abstractNumId w:val="2"/>
  </w:num>
  <w:num w:numId="10" w16cid:durableId="1371952731">
    <w:abstractNumId w:val="9"/>
  </w:num>
  <w:num w:numId="11" w16cid:durableId="176425187">
    <w:abstractNumId w:val="6"/>
  </w:num>
  <w:num w:numId="12" w16cid:durableId="2026396172">
    <w:abstractNumId w:val="21"/>
  </w:num>
  <w:num w:numId="13" w16cid:durableId="1826359928">
    <w:abstractNumId w:val="20"/>
  </w:num>
  <w:num w:numId="14" w16cid:durableId="1605502742">
    <w:abstractNumId w:val="28"/>
  </w:num>
  <w:num w:numId="15" w16cid:durableId="2051373576">
    <w:abstractNumId w:val="22"/>
  </w:num>
  <w:num w:numId="16" w16cid:durableId="831259739">
    <w:abstractNumId w:val="15"/>
  </w:num>
  <w:num w:numId="17" w16cid:durableId="708651246">
    <w:abstractNumId w:val="27"/>
  </w:num>
  <w:num w:numId="18" w16cid:durableId="1419331396">
    <w:abstractNumId w:val="14"/>
  </w:num>
  <w:num w:numId="19" w16cid:durableId="1257248785">
    <w:abstractNumId w:val="7"/>
  </w:num>
  <w:num w:numId="20" w16cid:durableId="780686129">
    <w:abstractNumId w:val="3"/>
  </w:num>
  <w:num w:numId="21" w16cid:durableId="899513310">
    <w:abstractNumId w:val="16"/>
  </w:num>
  <w:num w:numId="22" w16cid:durableId="2006394349">
    <w:abstractNumId w:val="19"/>
  </w:num>
  <w:num w:numId="23" w16cid:durableId="1808548283">
    <w:abstractNumId w:val="29"/>
  </w:num>
  <w:num w:numId="24" w16cid:durableId="1787460447">
    <w:abstractNumId w:val="23"/>
  </w:num>
  <w:num w:numId="25" w16cid:durableId="334652585">
    <w:abstractNumId w:val="18"/>
  </w:num>
  <w:num w:numId="26" w16cid:durableId="1002704115">
    <w:abstractNumId w:val="11"/>
  </w:num>
  <w:num w:numId="27" w16cid:durableId="303127334">
    <w:abstractNumId w:val="26"/>
  </w:num>
  <w:num w:numId="28" w16cid:durableId="443766796">
    <w:abstractNumId w:val="1"/>
  </w:num>
  <w:num w:numId="29" w16cid:durableId="28141966">
    <w:abstractNumId w:val="0"/>
  </w:num>
  <w:num w:numId="30" w16cid:durableId="1391340514">
    <w:abstractNumId w:val="17"/>
  </w:num>
  <w:num w:numId="31" w16cid:durableId="657422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3"/>
    <w:rsid w:val="000F453B"/>
    <w:rsid w:val="002B21DD"/>
    <w:rsid w:val="002F1B55"/>
    <w:rsid w:val="00401E51"/>
    <w:rsid w:val="007D37F2"/>
    <w:rsid w:val="009C31FC"/>
    <w:rsid w:val="00BF3153"/>
    <w:rsid w:val="00D24027"/>
    <w:rsid w:val="00F8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9EC0"/>
  <w15:chartTrackingRefBased/>
  <w15:docId w15:val="{B197CE65-03CF-48D5-BDB2-02D07FC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3B"/>
  </w:style>
  <w:style w:type="paragraph" w:styleId="Heading1">
    <w:name w:val="heading 1"/>
    <w:basedOn w:val="Normal"/>
    <w:next w:val="Normal"/>
    <w:link w:val="Heading1Char"/>
    <w:uiPriority w:val="9"/>
    <w:qFormat/>
    <w:rsid w:val="00BF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153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D37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Cheruiyot</dc:creator>
  <cp:keywords/>
  <dc:description/>
  <cp:lastModifiedBy>Dorothy Cheruiyot</cp:lastModifiedBy>
  <cp:revision>4</cp:revision>
  <dcterms:created xsi:type="dcterms:W3CDTF">2025-08-08T17:49:00Z</dcterms:created>
  <dcterms:modified xsi:type="dcterms:W3CDTF">2025-08-13T12:01:00Z</dcterms:modified>
</cp:coreProperties>
</file>