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color w:val="7F8C8D"/>
          <w:sz w:val="18"/>
          <w:szCs w:val="18"/>
        </w:rPr>
        <w:t xml:space="preserve">Final Project  ·  5th Year Architecture  ·  Ariel University, 2022</w:t>
      </w:r>
    </w:p>
    <w:p>
      <w:pPr>
        <w:spacing w:after="60" w:before="0"/>
        <w:jc w:val="center"/>
      </w:pPr>
      <w:r>
        <w:rPr>
          <w:rFonts w:ascii="Arial" w:cs="Arial" w:eastAsia="Arial" w:hAnsi="Arial"/>
          <w:color w:val="7F8C8D"/>
          <w:sz w:val="18"/>
          <w:szCs w:val="18"/>
        </w:rPr>
        <w:t xml:space="preserve">Supervisor: Daniel Azrad</w:t>
      </w:r>
    </w:p>
    <w:p>
      <w:pPr>
        <w:pBdr>
          <w:bottom w:val="single" w:color="CCCCCC" w:sz="2"/>
        </w:pBdr>
        <w:spacing w:after="80" w:before="80"/>
      </w:pPr>
    </w:p>
    <w:p>
      <w:pPr>
        <w:spacing w:after="0" w:before="200"/>
      </w:pPr>
      <w:r>
        <w:t xml:space="preserve"/>
      </w:r>
    </w:p>
    <w:p>
      <w:pPr>
        <w:spacing w:after="40" w:before="0"/>
        <w:jc w:val="center"/>
      </w:pPr>
      <w:r>
        <w:rPr>
          <w:rFonts w:ascii="Arial" w:cs="Arial" w:eastAsia="Arial" w:hAnsi="Arial"/>
          <w:b/>
          <w:bCs/>
          <w:color w:val="C0392B"/>
          <w:sz w:val="96"/>
          <w:szCs w:val="96"/>
        </w:rPr>
        <w:t xml:space="preserve">NKDT</w:t>
      </w:r>
    </w:p>
    <w:p>
      <w:pPr>
        <w:spacing w:after="60" w:before="0"/>
        <w:jc w:val="center"/>
      </w:pPr>
      <w:r>
        <w:rPr>
          <w:rFonts w:ascii="Arial" w:cs="Arial" w:eastAsia="Arial" w:hAnsi="Arial"/>
          <w:color w:val="2C2C2C"/>
          <w:sz w:val="40"/>
          <w:szCs w:val="40"/>
        </w:rPr>
        <w:t xml:space="preserve">פרויקט נקודות</w:t>
      </w:r>
    </w:p>
    <w:p>
      <w:pPr>
        <w:spacing w:after="0" w:before="80"/>
      </w:pPr>
      <w:r>
        <w:t xml:space="preserve"/>
      </w:r>
    </w:p>
    <w:p>
      <w:pPr>
        <w:pBdr>
          <w:bottom w:val="single" w:color="C0392B" w:sz="8"/>
        </w:pBdr>
        <w:spacing w:after="80" w:before="80"/>
      </w:pPr>
    </w:p>
    <w:p>
      <w:pPr>
        <w:spacing w:after="0" w:before="80"/>
      </w:pPr>
      <w:r>
        <w:t xml:space="preserve"/>
      </w:r>
    </w:p>
    <w:p>
      <w:pPr>
        <w:spacing w:after="200" w:before="0"/>
        <w:jc w:val="center"/>
      </w:pPr>
      <w:r>
        <w:rPr>
          <w:rFonts w:ascii="Georgia" w:cs="Georgia" w:eastAsia="Georgia" w:hAnsi="Georgia"/>
          <w:color w:val="2C2C2C"/>
          <w:sz w:val="24"/>
          <w:szCs w:val="24"/>
        </w:rPr>
        <w:t xml:space="preserve">Student Dormitories as an Architectural Laboratory for Communal Living</w:t>
      </w:r>
    </w:p>
    <w:p>
      <w:pPr>
        <w:spacing w:after="0" w:befor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none"/>
              <w:left w:val="none"/>
              <w:bottom w:val="none"/>
              <w:right w:val="none"/>
            </w:tcBorders>
            <w:shd w:fill="F8F8F8" w:val="clear"/>
            <w:tcMar>
              <w:top w:type="dxa" w:w="140"/>
              <w:left w:type="dxa" w:w="100"/>
              <w:bottom w:type="dxa" w:w="140"/>
              <w:right w:type="dxa" w:w="100"/>
            </w:tcMar>
            <w:vAlign w:val="center"/>
          </w:tcPr>
          <w:p>
            <w:pPr>
              <w:jc w:val="center"/>
            </w:pPr>
            <w:r>
              <w:rPr>
                <w:rFonts w:ascii="Arial" w:cs="Arial" w:eastAsia="Arial" w:hAnsi="Arial"/>
                <w:b/>
                <w:bCs/>
                <w:color w:val="C0392B"/>
                <w:sz w:val="48"/>
                <w:szCs w:val="48"/>
              </w:rPr>
              <w:t xml:space="preserve">~5,000</w:t>
            </w:r>
          </w:p>
          <w:p>
            <w:pPr>
              <w:jc w:val="center"/>
            </w:pPr>
            <w:r>
              <w:rPr>
                <w:rFonts w:ascii="Arial" w:cs="Arial" w:eastAsia="Arial" w:hAnsi="Arial"/>
                <w:color w:val="7F8C8D"/>
                <w:sz w:val="17"/>
                <w:szCs w:val="17"/>
              </w:rPr>
              <w:t xml:space="preserve">Beds planned</w:t>
            </w:r>
          </w:p>
        </w:tc>
        <w:tc>
          <w:tcPr>
            <w:tcW w:type="dxa" w:w="2436"/>
            <w:tcBorders>
              <w:top w:val="none"/>
              <w:left w:val="none"/>
              <w:bottom w:val="none"/>
              <w:right w:val="none"/>
            </w:tcBorders>
            <w:shd w:fill="F8F8F8" w:val="clear"/>
            <w:tcMar>
              <w:top w:type="dxa" w:w="140"/>
              <w:left w:type="dxa" w:w="100"/>
              <w:bottom w:type="dxa" w:w="140"/>
              <w:right w:type="dxa" w:w="100"/>
            </w:tcMar>
            <w:vAlign w:val="center"/>
          </w:tcPr>
          <w:p>
            <w:pPr>
              <w:jc w:val="center"/>
            </w:pPr>
            <w:r>
              <w:rPr>
                <w:rFonts w:ascii="Arial" w:cs="Arial" w:eastAsia="Arial" w:hAnsi="Arial"/>
                <w:b/>
                <w:bCs/>
                <w:color w:val="2980B9"/>
                <w:sz w:val="48"/>
                <w:szCs w:val="48"/>
              </w:rPr>
              <w:t xml:space="preserve">3</w:t>
            </w:r>
          </w:p>
          <w:p>
            <w:pPr>
              <w:jc w:val="center"/>
            </w:pPr>
            <w:r>
              <w:rPr>
                <w:rFonts w:ascii="Arial" w:cs="Arial" w:eastAsia="Arial" w:hAnsi="Arial"/>
                <w:color w:val="7F8C8D"/>
                <w:sz w:val="17"/>
                <w:szCs w:val="17"/>
              </w:rPr>
              <w:t xml:space="preserve">Building typologies</w:t>
            </w:r>
          </w:p>
        </w:tc>
        <w:tc>
          <w:tcPr>
            <w:tcW w:type="dxa" w:w="2436"/>
            <w:tcBorders>
              <w:top w:val="none"/>
              <w:left w:val="none"/>
              <w:bottom w:val="none"/>
              <w:right w:val="none"/>
            </w:tcBorders>
            <w:shd w:fill="F8F8F8" w:val="clear"/>
            <w:tcMar>
              <w:top w:type="dxa" w:w="140"/>
              <w:left w:type="dxa" w:w="100"/>
              <w:bottom w:type="dxa" w:w="140"/>
              <w:right w:type="dxa" w:w="100"/>
            </w:tcMar>
            <w:vAlign w:val="center"/>
          </w:tcPr>
          <w:p>
            <w:pPr>
              <w:jc w:val="center"/>
            </w:pPr>
            <w:r>
              <w:rPr>
                <w:rFonts w:ascii="Arial" w:cs="Arial" w:eastAsia="Arial" w:hAnsi="Arial"/>
                <w:b/>
                <w:bCs/>
                <w:color w:val="27AE60"/>
                <w:sz w:val="48"/>
                <w:szCs w:val="48"/>
              </w:rPr>
              <w:t xml:space="preserve">28</w:t>
            </w:r>
          </w:p>
          <w:p>
            <w:pPr>
              <w:jc w:val="center"/>
            </w:pPr>
            <w:r>
              <w:rPr>
                <w:rFonts w:ascii="Arial" w:cs="Arial" w:eastAsia="Arial" w:hAnsi="Arial"/>
                <w:color w:val="7F8C8D"/>
                <w:sz w:val="17"/>
                <w:szCs w:val="17"/>
              </w:rPr>
              <w:t xml:space="preserve">Plots</w:t>
            </w:r>
          </w:p>
        </w:tc>
        <w:tc>
          <w:tcPr>
            <w:tcW w:type="dxa" w:w="2438"/>
            <w:tcBorders>
              <w:top w:val="none"/>
              <w:left w:val="none"/>
              <w:bottom w:val="none"/>
              <w:right w:val="none"/>
            </w:tcBorders>
            <w:shd w:fill="F8F8F8" w:val="clear"/>
            <w:tcMar>
              <w:top w:type="dxa" w:w="140"/>
              <w:left w:type="dxa" w:w="100"/>
              <w:bottom w:type="dxa" w:w="140"/>
              <w:right w:type="dxa" w:w="100"/>
            </w:tcMar>
            <w:vAlign w:val="center"/>
          </w:tcPr>
          <w:p>
            <w:pPr>
              <w:jc w:val="center"/>
            </w:pPr>
            <w:r>
              <w:rPr>
                <w:rFonts w:ascii="Arial" w:cs="Arial" w:eastAsia="Arial" w:hAnsi="Arial"/>
                <w:b/>
                <w:bCs/>
                <w:color w:val="E67E22"/>
                <w:sz w:val="48"/>
                <w:szCs w:val="48"/>
              </w:rPr>
              <w:t xml:space="preserve">7</w:t>
            </w:r>
          </w:p>
          <w:p>
            <w:pPr>
              <w:jc w:val="center"/>
            </w:pPr>
            <w:r>
              <w:rPr>
                <w:rFonts w:ascii="Arial" w:cs="Arial" w:eastAsia="Arial" w:hAnsi="Arial"/>
                <w:color w:val="7F8C8D"/>
                <w:sz w:val="17"/>
                <w:szCs w:val="17"/>
              </w:rPr>
              <w:t xml:space="preserve">Neighbourhoods</w:t>
            </w:r>
          </w:p>
        </w:tc>
      </w:tr>
    </w:tbl>
    <w:p>
      <w:pPr>
        <w:spacing w:after="0" w:before="400"/>
      </w:pPr>
      <w:r>
        <w:t xml:space="preserve"/>
      </w:r>
    </w:p>
    <w:p>
      <w:pPr>
        <w:pBdr>
          <w:left w:val="single" w:color="2980B9" w:sz="16" w:space="12"/>
        </w:pBdr>
        <w:spacing w:after="160" w:before="160"/>
        <w:ind w:left="360"/>
      </w:pPr>
      <w:r>
        <w:rPr>
          <w:rFonts w:ascii="Georgia" w:cs="Georgia" w:eastAsia="Georgia" w:hAnsi="Georgia"/>
          <w:color w:val="2C2C2C"/>
          <w:sz w:val="21"/>
          <w:szCs w:val="21"/>
        </w:rPr>
        <w:t xml:space="preserve">Architecture as a dynamic, data-informed laboratory — where spatial design is continuously measured, iterated, and validated against lived human outcomes.</w:t>
      </w:r>
    </w:p>
    <w:p>
      <w:pPr>
        <w:spacing w:after="0" w:before="5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CCCCCC" w:sz="4"/>
              <w:left w:val="single" w:color="CCCCCC" w:sz="4"/>
              <w:bottom w:val="single" w:color="CCCCCC" w:sz="4"/>
              <w:right w:val="single" w:color="CCCCCC" w:sz="4"/>
            </w:tcBorders>
            <w:shd w:fill="F0F0F0" w:val="clear"/>
            <w:tcMar>
              <w:top w:type="dxa" w:w="160"/>
              <w:left w:type="dxa" w:w="200"/>
              <w:bottom w:type="dxa" w:w="160"/>
              <w:right w:type="dxa" w:w="20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NKDT Project Cover Render / Site Aerial — Ariel New Dorms Complex</w:t>
            </w:r>
            <w:r>
              <w:rPr>
                <w:rFonts w:ascii="Arial" w:cs="Arial" w:eastAsia="Arial" w:hAnsi="Arial"/>
                <w:color w:val="7F8C8D"/>
                <w:sz w:val="18"/>
                <w:szCs w:val="18"/>
              </w:rPr>
              <w:t xml:space="preserve"> ]</w:t>
            </w:r>
          </w:p>
        </w:tc>
      </w:tr>
    </w:tbl>
    <w:p>
      <w:pPr>
        <w:spacing w:after="180" w:before="60"/>
        <w:jc w:val="center"/>
      </w:pPr>
      <w:r>
        <w:rPr>
          <w:rFonts w:ascii="Arial" w:cs="Arial" w:eastAsia="Arial" w:hAnsi="Arial"/>
          <w:color w:val="7F8C8D"/>
          <w:sz w:val="17"/>
          <w:szCs w:val="17"/>
        </w:rPr>
        <w:t xml:space="preserve">Ariel University, Ariel, Israel — proposed community dormitory complex</w:t>
      </w:r>
    </w:p>
    <w:p>
      <w:pPr>
        <w:sectPr>
          <w:pgSz w:w="11906" w:h="16838" w:orient="portrait"/>
          <w:pgMar w:top="1080" w:right="1080" w:bottom="1080" w:left="1080" w:header="708" w:footer="708" w:gutter="0"/>
          <w:pgNumType/>
          <w:docGrid w:linePitch="360"/>
        </w:sectPr>
      </w:pPr>
    </w:p>
    <w:p>
      <w:pPr>
        <w:spacing w:after="60" w:before="320"/>
        <w:jc w:val="left"/>
      </w:pPr>
      <w:r>
        <w:rPr>
          <w:rFonts w:ascii="Arial" w:cs="Arial" w:eastAsia="Arial" w:hAnsi="Arial"/>
          <w:color w:val="C0392B"/>
          <w:sz w:val="20"/>
          <w:szCs w:val="20"/>
        </w:rPr>
        <w:t xml:space="preserve">— </w:t>
      </w:r>
      <w:r>
        <w:rPr>
          <w:rFonts w:ascii="Arial" w:cs="Arial" w:eastAsia="Arial" w:hAnsi="Arial"/>
          <w:b/>
          <w:bCs/>
          <w:color w:val="C0392B"/>
          <w:sz w:val="20"/>
          <w:szCs w:val="20"/>
        </w:rPr>
        <w:t xml:space="preserve">WHY + WHAT</w:t>
      </w:r>
      <w:r>
        <w:rPr>
          <w:rFonts w:ascii="Arial" w:cs="Arial" w:eastAsia="Arial" w:hAnsi="Arial"/>
          <w:color w:val="C0392B"/>
          <w:sz w:val="20"/>
          <w:szCs w:val="20"/>
        </w:rPr>
        <w:t xml:space="preserve"> —</w:t>
      </w:r>
    </w:p>
    <w:p>
      <w:pPr>
        <w:spacing w:after="120" w:before="60"/>
      </w:pPr>
      <w:r>
        <w:rPr>
          <w:rFonts w:ascii="Arial" w:cs="Arial" w:eastAsia="Arial" w:hAnsi="Arial"/>
          <w:b/>
          <w:bCs/>
          <w:color w:val="2C2C2C"/>
          <w:sz w:val="36"/>
          <w:szCs w:val="36"/>
        </w:rPr>
        <w:t xml:space="preserve">Ethical Framework &amp; The Proposition</w:t>
      </w:r>
    </w:p>
    <w:p>
      <w:pPr>
        <w:pBdr>
          <w:bottom w:val="single" w:color="C0392B" w:sz="8"/>
        </w:pBdr>
        <w:spacing w:after="200" w:before="60"/>
      </w:pPr>
    </w:p>
    <w:p>
      <w:pPr>
        <w:spacing w:after="80" w:before="240"/>
      </w:pPr>
      <w:r>
        <w:rPr>
          <w:rFonts w:ascii="Arial" w:cs="Arial" w:eastAsia="Arial" w:hAnsi="Arial"/>
          <w:b/>
          <w:bCs/>
          <w:color w:val="2C2C2C"/>
          <w:sz w:val="28"/>
          <w:szCs w:val="28"/>
        </w:rPr>
        <w:t xml:space="preserve">Two Design Imperatives</w:t>
      </w:r>
    </w:p>
    <w:p>
      <w:pPr>
        <w:spacing w:after="100" w:before="80"/>
        <w:jc w:val="left"/>
      </w:pPr>
      <w:r>
        <w:rPr>
          <w:rFonts w:ascii="Arial" w:cs="Arial" w:eastAsia="Arial" w:hAnsi="Arial"/>
          <w:color w:val="2C2C2C"/>
          <w:sz w:val="20"/>
          <w:szCs w:val="20"/>
        </w:rPr>
        <w:t xml:space="preserve">Two conditions define the architectural opportunity of the moment. First, the exponential growth of available data has made it possible to move beyond intuition: nearly every person carries a device capable of generating spatial telemetry, and data-informed design allows architects to find patterns in complex systems and compare alternatives against real conditions. Second — and equally urgent — loneliness is an epidemic. It is a subjective state distinct from social isolation: even people embedded in large networks can feel its absence of depth. Architecture has a concrete role to play in reversing this, through spaces that actively foster layered belonging and spontaneous encounter.</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73"/>
        <w:gridCol w:w="400"/>
        <w:gridCol w:w="4773"/>
      </w:tblGrid>
      <w:tr>
        <w:tc>
          <w:tcPr>
            <w:tcW w:type="dxa" w:w="4773"/>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Information-driven design — data feedback loop diagram</w:t>
            </w:r>
            <w:r>
              <w:rPr>
                <w:rFonts w:ascii="Arial" w:cs="Arial" w:eastAsia="Arial" w:hAnsi="Arial"/>
                <w:color w:val="7F8C8D"/>
                <w:sz w:val="18"/>
                <w:szCs w:val="18"/>
              </w:rPr>
              <w:t xml:space="preserve"> ]</w:t>
            </w:r>
          </w:p>
        </w:tc>
        <w:tc>
          <w:tcPr>
            <w:tcW w:type="dxa" w:w="400"/>
            <w:tcBorders>
              <w:top w:val="none"/>
              <w:left w:val="none"/>
              <w:bottom w:val="none"/>
              <w:right w:val="none"/>
            </w:tcBorders>
          </w:tcPr>
          <w:p>
            <w:r>
              <w:t xml:space="preserve"/>
            </w:r>
          </w:p>
        </w:tc>
        <w:tc>
          <w:tcPr>
            <w:tcW w:type="dxa" w:w="4773"/>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Loneliness epidemic — community bond erosion diagram</w:t>
            </w:r>
            <w:r>
              <w:rPr>
                <w:rFonts w:ascii="Arial" w:cs="Arial" w:eastAsia="Arial" w:hAnsi="Arial"/>
                <w:color w:val="7F8C8D"/>
                <w:sz w:val="18"/>
                <w:szCs w:val="18"/>
              </w:rPr>
              <w:t xml:space="preserve"> ]</w:t>
            </w:r>
          </w:p>
        </w:tc>
      </w:tr>
    </w:tbl>
    <w:p>
      <w:pPr>
        <w:spacing w:after="180" w:before="60"/>
        <w:jc w:val="center"/>
      </w:pPr>
      <w:r>
        <w:rPr>
          <w:rFonts w:ascii="Arial" w:cs="Arial" w:eastAsia="Arial" w:hAnsi="Arial"/>
          <w:color w:val="7F8C8D"/>
          <w:sz w:val="17"/>
          <w:szCs w:val="17"/>
        </w:rPr>
        <w:t xml:space="preserve">Data-feedback cycle enabling iterative spatial improvement (left)  ·  Erosion of community bonds since the Renaissance (right)</w:t>
      </w:r>
    </w:p>
    <w:p>
      <w:pPr>
        <w:spacing w:after="0" w:before="200"/>
      </w:pPr>
      <w:r>
        <w:t xml:space="preserve"/>
      </w:r>
    </w:p>
    <w:p>
      <w:pPr>
        <w:spacing w:after="80" w:before="240"/>
      </w:pPr>
      <w:r>
        <w:rPr>
          <w:rFonts w:ascii="Arial" w:cs="Arial" w:eastAsia="Arial" w:hAnsi="Arial"/>
          <w:b/>
          <w:bCs/>
          <w:color w:val="2C2C2C"/>
          <w:sz w:val="28"/>
          <w:szCs w:val="28"/>
        </w:rPr>
        <w:t xml:space="preserve">The Proposition: A Living Laboratory</w:t>
      </w:r>
    </w:p>
    <w:p>
      <w:pPr>
        <w:spacing w:after="100" w:before="80"/>
        <w:jc w:val="left"/>
      </w:pPr>
      <w:r>
        <w:rPr>
          <w:rFonts w:ascii="Arial" w:cs="Arial" w:eastAsia="Arial" w:hAnsi="Arial"/>
          <w:color w:val="2C2C2C"/>
          <w:sz w:val="20"/>
          <w:szCs w:val="20"/>
        </w:rPr>
        <w:t xml:space="preserve">The project synthesises both imperatives into one programme: an architectural laboratory for communal living, built on the platform of student dormitories. The three pillars are inseparable — the dormitory provides the controlled institutional context; the communal design addresses loneliness through layered shared space; the laboratory framing makes every design decision a testable, measurable hypothesis.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C0392B" w:sz="12"/>
              <w:left w:val="none"/>
              <w:bottom w:val="none"/>
              <w:right w:val="none"/>
            </w:tcBorders>
            <w:shd w:fill="FDF2F2" w:val="clear"/>
            <w:tcMar>
              <w:top w:type="dxa" w:w="160"/>
              <w:left w:type="dxa" w:w="180"/>
              <w:bottom w:type="dxa" w:w="160"/>
              <w:right w:type="dxa" w:w="180"/>
            </w:tcMar>
          </w:tcPr>
          <w:p>
            <w:r>
              <w:rPr>
                <w:rFonts w:ascii="Arial" w:cs="Arial" w:eastAsia="Arial" w:hAnsi="Arial"/>
                <w:b/>
                <w:bCs/>
                <w:color w:val="C0392B"/>
                <w:sz w:val="20"/>
                <w:szCs w:val="20"/>
              </w:rPr>
              <w:t xml:space="preserve">Architectural Laboratory</w:t>
            </w:r>
          </w:p>
          <w:p>
            <w:pPr>
              <w:spacing w:after="0" w:before="60"/>
            </w:pPr>
            <w:r>
              <w:rPr>
                <w:rFonts w:ascii="Arial" w:cs="Arial" w:eastAsia="Arial" w:hAnsi="Arial"/>
                <w:color w:val="2C2C2C"/>
                <w:sz w:val="17"/>
                <w:szCs w:val="17"/>
              </w:rPr>
              <w:t xml:space="preserve">Dynamic system built for continuous spatial experimentation — designed to change and extract insights during active operation.</w:t>
            </w:r>
          </w:p>
        </w:tc>
        <w:tc>
          <w:tcPr>
            <w:tcW w:type="dxa" w:w="3248"/>
            <w:tcBorders>
              <w:top w:val="single" w:color="2980B9" w:sz="12"/>
              <w:left w:val="none"/>
              <w:bottom w:val="none"/>
              <w:right w:val="none"/>
            </w:tcBorders>
            <w:shd w:fill="F2F7FD" w:val="clear"/>
            <w:tcMar>
              <w:top w:type="dxa" w:w="160"/>
              <w:left w:type="dxa" w:w="180"/>
              <w:bottom w:type="dxa" w:w="160"/>
              <w:right w:type="dxa" w:w="180"/>
            </w:tcMar>
          </w:tcPr>
          <w:p>
            <w:r>
              <w:rPr>
                <w:rFonts w:ascii="Arial" w:cs="Arial" w:eastAsia="Arial" w:hAnsi="Arial"/>
                <w:b/>
                <w:bCs/>
                <w:color w:val="2980B9"/>
                <w:sz w:val="20"/>
                <w:szCs w:val="20"/>
              </w:rPr>
              <w:t xml:space="preserve">Communal Living</w:t>
            </w:r>
          </w:p>
          <w:p>
            <w:pPr>
              <w:spacing w:after="0" w:before="60"/>
            </w:pPr>
            <w:r>
              <w:rPr>
                <w:rFonts w:ascii="Arial" w:cs="Arial" w:eastAsia="Arial" w:hAnsi="Arial"/>
                <w:color w:val="2C2C2C"/>
                <w:sz w:val="17"/>
                <w:szCs w:val="17"/>
              </w:rPr>
              <w:t xml:space="preserve">Design against loneliness: layered shared spaces that invite spontaneous contact, graduated privacy, and resident ownership of collective ground.</w:t>
            </w:r>
          </w:p>
        </w:tc>
        <w:tc>
          <w:tcPr>
            <w:tcW w:type="dxa" w:w="3250"/>
            <w:tcBorders>
              <w:top w:val="single" w:color="27AE60" w:sz="12"/>
              <w:left w:val="none"/>
              <w:bottom w:val="none"/>
              <w:right w:val="none"/>
            </w:tcBorders>
            <w:shd w:fill="F2FDF5" w:val="clear"/>
            <w:tcMar>
              <w:top w:type="dxa" w:w="160"/>
              <w:left w:type="dxa" w:w="180"/>
              <w:bottom w:type="dxa" w:w="160"/>
              <w:right w:type="dxa" w:w="180"/>
            </w:tcMar>
          </w:tcPr>
          <w:p>
            <w:r>
              <w:rPr>
                <w:rFonts w:ascii="Arial" w:cs="Arial" w:eastAsia="Arial" w:hAnsi="Arial"/>
                <w:b/>
                <w:bCs/>
                <w:color w:val="27AE60"/>
                <w:sz w:val="20"/>
                <w:szCs w:val="20"/>
              </w:rPr>
              <w:t xml:space="preserve">Student Dormitories</w:t>
            </w:r>
          </w:p>
          <w:p>
            <w:pPr>
              <w:spacing w:after="0" w:before="60"/>
            </w:pPr>
            <w:r>
              <w:rPr>
                <w:rFonts w:ascii="Arial" w:cs="Arial" w:eastAsia="Arial" w:hAnsi="Arial"/>
                <w:color w:val="2C2C2C"/>
                <w:sz w:val="17"/>
                <w:szCs w:val="17"/>
              </w:rPr>
              <w:t xml:space="preserve">The platform: institutional ownership + cross-sectional transient population + medium-term tenancy = ideal conditions for iterative spatial research.</w:t>
            </w:r>
          </w:p>
        </w:tc>
      </w:tr>
    </w:tbl>
    <w:p>
      <w:pPr>
        <w:spacing w:after="0" w:before="200"/>
      </w:pPr>
      <w:r>
        <w:t xml:space="preserve"/>
      </w:r>
    </w:p>
    <w:p>
      <w:pPr>
        <w:spacing w:after="80" w:before="240"/>
      </w:pPr>
      <w:r>
        <w:rPr>
          <w:rFonts w:ascii="Arial" w:cs="Arial" w:eastAsia="Arial" w:hAnsi="Arial"/>
          <w:b/>
          <w:bCs/>
          <w:color w:val="2C2C2C"/>
          <w:sz w:val="28"/>
          <w:szCs w:val="28"/>
        </w:rPr>
        <w:t xml:space="preserve">Why Ariel University?</w:t>
      </w:r>
    </w:p>
    <w:p>
      <w:pPr>
        <w:spacing w:after="100" w:before="80"/>
        <w:jc w:val="left"/>
      </w:pPr>
      <w:r>
        <w:rPr>
          <w:rFonts w:ascii="Arial" w:cs="Arial" w:eastAsia="Arial" w:hAnsi="Arial"/>
          <w:color w:val="2C2C2C"/>
          <w:sz w:val="20"/>
          <w:szCs w:val="20"/>
        </w:rPr>
        <w:t xml:space="preserve">Ariel University presents a rare natural experiment: two radically opposed dormitory compounds on the same campus, serving the same population — a corridor / mid-rise cluster (inside/outside the fence, ~760 beds, institutional character) against a scattered caravan plex (organically distributed across topography, ~1,240 beds, village atmosphere). The contrast is stark enough to test foundational assumptions about how spatial configuration shapes community, while institutional ownership and population cross-section make the data tractable.</w:t>
      </w:r>
    </w:p>
    <w:p>
      <w:pPr>
        <w:sectPr>
          <w:headerReference w:type="default" r:id="rId7"/>
          <w:footerReference w:type="default" r:id="rId8"/>
          <w:type w:val="nextPage"/>
          <w:pgSz w:w="11906" w:h="16838" w:orient="portrait"/>
          <w:pgMar w:top="1080" w:right="1080" w:bottom="1080" w:left="1080" w:header="708" w:footer="708" w:gutter="0"/>
          <w:pgNumType/>
          <w:docGrid w:linePitch="360"/>
        </w:sectPr>
      </w:pPr>
    </w:p>
    <w:p>
      <w:pPr>
        <w:spacing w:after="60" w:before="320"/>
        <w:jc w:val="left"/>
      </w:pPr>
      <w:r>
        <w:rPr>
          <w:rFonts w:ascii="Arial" w:cs="Arial" w:eastAsia="Arial" w:hAnsi="Arial"/>
          <w:color w:val="27AE60"/>
          <w:sz w:val="20"/>
          <w:szCs w:val="20"/>
        </w:rPr>
        <w:t xml:space="preserve">— </w:t>
      </w:r>
      <w:r>
        <w:rPr>
          <w:rFonts w:ascii="Arial" w:cs="Arial" w:eastAsia="Arial" w:hAnsi="Arial"/>
          <w:b/>
          <w:bCs/>
          <w:color w:val="27AE60"/>
          <w:sz w:val="20"/>
          <w:szCs w:val="20"/>
        </w:rPr>
        <w:t xml:space="preserve">WHERE</w:t>
      </w:r>
      <w:r>
        <w:rPr>
          <w:rFonts w:ascii="Arial" w:cs="Arial" w:eastAsia="Arial" w:hAnsi="Arial"/>
          <w:color w:val="27AE60"/>
          <w:sz w:val="20"/>
          <w:szCs w:val="20"/>
        </w:rPr>
        <w:t xml:space="preserve"> —</w:t>
      </w:r>
    </w:p>
    <w:p>
      <w:pPr>
        <w:spacing w:after="120" w:before="60"/>
      </w:pPr>
      <w:r>
        <w:rPr>
          <w:rFonts w:ascii="Arial" w:cs="Arial" w:eastAsia="Arial" w:hAnsi="Arial"/>
          <w:b/>
          <w:bCs/>
          <w:color w:val="2C2C2C"/>
          <w:sz w:val="36"/>
          <w:szCs w:val="36"/>
        </w:rPr>
        <w:t xml:space="preserve">Ariel University — Site Analysis &amp; Masterplan</w:t>
      </w:r>
    </w:p>
    <w:p>
      <w:pPr>
        <w:pBdr>
          <w:bottom w:val="single" w:color="27AE60" w:sz="8"/>
        </w:pBdr>
        <w:spacing w:after="200" w:before="60"/>
      </w:pPr>
    </w:p>
    <w:p>
      <w:pPr>
        <w:spacing w:after="80" w:before="240"/>
      </w:pPr>
      <w:r>
        <w:rPr>
          <w:rFonts w:ascii="Arial" w:cs="Arial" w:eastAsia="Arial" w:hAnsi="Arial"/>
          <w:b/>
          <w:bCs/>
          <w:color w:val="2C2C2C"/>
          <w:sz w:val="28"/>
          <w:szCs w:val="28"/>
        </w:rPr>
        <w:t xml:space="preserve">Existing Conditions</w:t>
      </w:r>
    </w:p>
    <w:p>
      <w:pPr>
        <w:spacing w:after="100" w:before="80"/>
        <w:jc w:val="left"/>
      </w:pPr>
      <w:r>
        <w:rPr>
          <w:rFonts w:ascii="Arial" w:cs="Arial" w:eastAsia="Arial" w:hAnsi="Arial"/>
          <w:color w:val="2C2C2C"/>
          <w:sz w:val="20"/>
          <w:szCs w:val="20"/>
        </w:rPr>
        <w:t xml:space="preserve">The current campus is structurally fragmented: dorms split between inside and outside the university fence create two communities with different characters; the campus itself is bisected by a road; and dormitories already occupy ~50% of the built footprint — with rapid growth demanding densification. Yet the buffer position between university and city carries genuine connective potential, currently squandered.</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CCCCCC" w:sz="4"/>
              <w:left w:val="single" w:color="CCCCCC" w:sz="4"/>
              <w:bottom w:val="single" w:color="CCCCCC" w:sz="4"/>
              <w:right w:val="single" w:color="CCCCCC" w:sz="4"/>
            </w:tcBorders>
            <w:shd w:fill="F0F0F0" w:val="clear"/>
            <w:tcMar>
              <w:top w:type="dxa" w:w="160"/>
              <w:left w:type="dxa" w:w="200"/>
              <w:bottom w:type="dxa" w:w="160"/>
              <w:right w:type="dxa" w:w="20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Ariel University aerial map — existing dorm compounds highlighted</w:t>
            </w:r>
            <w:r>
              <w:rPr>
                <w:rFonts w:ascii="Arial" w:cs="Arial" w:eastAsia="Arial" w:hAnsi="Arial"/>
                <w:color w:val="7F8C8D"/>
                <w:sz w:val="18"/>
                <w:szCs w:val="18"/>
              </w:rPr>
              <w:t xml:space="preserve"> ]</w:t>
            </w:r>
          </w:p>
        </w:tc>
      </w:tr>
    </w:tbl>
    <w:p>
      <w:pPr>
        <w:spacing w:after="180" w:before="60"/>
        <w:jc w:val="center"/>
      </w:pPr>
      <w:r>
        <w:rPr>
          <w:rFonts w:ascii="Arial" w:cs="Arial" w:eastAsia="Arial" w:hAnsi="Arial"/>
          <w:color w:val="7F8C8D"/>
          <w:sz w:val="17"/>
          <w:szCs w:val="17"/>
        </w:rPr>
        <w:t xml:space="preserve">Existing campus: corridor compound (outside fence, left) vs scattered caravan compound (inside campus, right)</w:t>
      </w:r>
    </w:p>
    <w:p>
      <w:pPr>
        <w:spacing w:after="0" w:before="200"/>
      </w:pPr>
      <w:r>
        <w:t xml:space="preserve"/>
      </w:r>
    </w:p>
    <w:p>
      <w:pPr>
        <w:spacing w:after="80" w:before="240"/>
      </w:pPr>
      <w:r>
        <w:rPr>
          <w:rFonts w:ascii="Arial" w:cs="Arial" w:eastAsia="Arial" w:hAnsi="Arial"/>
          <w:b/>
          <w:bCs/>
          <w:color w:val="2C2C2C"/>
          <w:sz w:val="28"/>
          <w:szCs w:val="28"/>
        </w:rPr>
        <w:t xml:space="preserve">Proposed Masterplan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CCCCCC" w:sz="4"/>
              <w:left w:val="single" w:color="CCCCCC" w:sz="4"/>
              <w:bottom w:val="single" w:color="CCCCCC" w:sz="4"/>
              <w:right w:val="single" w:color="CCCCCC" w:sz="4"/>
            </w:tcBorders>
            <w:shd w:fill="F0F0F0" w:val="clear"/>
            <w:tcMar>
              <w:top w:type="dxa" w:w="160"/>
              <w:left w:type="dxa" w:w="200"/>
              <w:bottom w:type="dxa" w:w="160"/>
              <w:right w:type="dxa" w:w="20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New Ariel masterplan — topographic contours, circulation, building footprints, neighbourhood divisions</w:t>
            </w:r>
            <w:r>
              <w:rPr>
                <w:rFonts w:ascii="Arial" w:cs="Arial" w:eastAsia="Arial" w:hAnsi="Arial"/>
                <w:color w:val="7F8C8D"/>
                <w:sz w:val="18"/>
                <w:szCs w:val="18"/>
              </w:rPr>
              <w:t xml:space="preserve"> ]</w:t>
            </w:r>
          </w:p>
        </w:tc>
      </w:tr>
    </w:tbl>
    <w:p>
      <w:pPr>
        <w:spacing w:after="180" w:before="60"/>
        <w:jc w:val="center"/>
      </w:pPr>
      <w:r>
        <w:rPr>
          <w:rFonts w:ascii="Arial" w:cs="Arial" w:eastAsia="Arial" w:hAnsi="Arial"/>
          <w:color w:val="7F8C8D"/>
          <w:sz w:val="17"/>
          <w:szCs w:val="17"/>
        </w:rPr>
        <w:t xml:space="preserve">New Ariel: dorms repositioned as community buffer between city and campus — topographically embedded across 28 plots in 7 neighbourhoods</w:t>
      </w:r>
    </w:p>
    <w:p>
      <w:pPr>
        <w:spacing w:after="0" w:before="120"/>
      </w:pPr>
      <w:r>
        <w:t xml:space="preserve"/>
      </w:r>
    </w:p>
    <w:p>
      <w:pPr>
        <w:spacing w:after="100" w:before="80"/>
        <w:jc w:val="left"/>
      </w:pPr>
      <w:r>
        <w:rPr>
          <w:rFonts w:ascii="Arial" w:cs="Arial" w:eastAsia="Arial" w:hAnsi="Arial"/>
          <w:color w:val="2C2C2C"/>
          <w:sz w:val="20"/>
          <w:szCs w:val="20"/>
        </w:rPr>
        <w:t xml:space="preserve">Four moves structure the proposal: the dorm buffer becomes a connector enabling daily student-resident interaction; a peripheral ring road and central plaza reunite the split campus; 28 plots group into 7 neighbourhoods with shared identity, colour, and community programme; and three distinct building typologies distribute across the site to enable spatial comparison.</w:t>
      </w:r>
    </w:p>
    <w:p>
      <w:pPr>
        <w:sectPr>
          <w:headerReference w:type="default" r:id="rId9"/>
          <w:footerReference w:type="default" r:id="rId10"/>
          <w:type w:val="nextPage"/>
          <w:pgSz w:w="11906" w:h="16838" w:orient="portrait"/>
          <w:pgMar w:top="1080" w:right="1080" w:bottom="1080" w:left="1080" w:header="708" w:footer="708" w:gutter="0"/>
          <w:pgNumType/>
          <w:docGrid w:linePitch="360"/>
        </w:sectPr>
      </w:pPr>
    </w:p>
    <w:p>
      <w:pPr>
        <w:spacing w:after="60" w:before="320"/>
        <w:jc w:val="left"/>
      </w:pPr>
      <w:r>
        <w:rPr>
          <w:rFonts w:ascii="Arial" w:cs="Arial" w:eastAsia="Arial" w:hAnsi="Arial"/>
          <w:color w:val="E67E22"/>
          <w:sz w:val="20"/>
          <w:szCs w:val="20"/>
        </w:rPr>
        <w:t xml:space="preserve">— </w:t>
      </w:r>
      <w:r>
        <w:rPr>
          <w:rFonts w:ascii="Arial" w:cs="Arial" w:eastAsia="Arial" w:hAnsi="Arial"/>
          <w:b/>
          <w:bCs/>
          <w:color w:val="E67E22"/>
          <w:sz w:val="20"/>
          <w:szCs w:val="20"/>
        </w:rPr>
        <w:t xml:space="preserve">HOW</w:t>
      </w:r>
      <w:r>
        <w:rPr>
          <w:rFonts w:ascii="Arial" w:cs="Arial" w:eastAsia="Arial" w:hAnsi="Arial"/>
          <w:color w:val="E67E22"/>
          <w:sz w:val="20"/>
          <w:szCs w:val="20"/>
        </w:rPr>
        <w:t xml:space="preserve"> —</w:t>
      </w:r>
    </w:p>
    <w:p>
      <w:pPr>
        <w:spacing w:after="120" w:before="60"/>
      </w:pPr>
      <w:r>
        <w:rPr>
          <w:rFonts w:ascii="Arial" w:cs="Arial" w:eastAsia="Arial" w:hAnsi="Arial"/>
          <w:b/>
          <w:bCs/>
          <w:color w:val="2C2C2C"/>
          <w:sz w:val="36"/>
          <w:szCs w:val="36"/>
        </w:rPr>
        <w:t xml:space="preserve">Flexible Repetition — The Modular Design System</w:t>
      </w:r>
    </w:p>
    <w:p>
      <w:pPr>
        <w:pBdr>
          <w:bottom w:val="single" w:color="E67E22" w:sz="8"/>
        </w:pBdr>
        <w:spacing w:after="200" w:before="60"/>
      </w:pPr>
    </w:p>
    <w:p>
      <w:pPr>
        <w:spacing w:after="100" w:before="80"/>
        <w:jc w:val="left"/>
      </w:pPr>
      <w:r>
        <w:rPr>
          <w:rFonts w:ascii="Arial" w:cs="Arial" w:eastAsia="Arial" w:hAnsi="Arial"/>
          <w:color w:val="2C2C2C"/>
          <w:sz w:val="20"/>
          <w:szCs w:val="20"/>
        </w:rPr>
        <w:t xml:space="preserve">The design logic rests on a single repeated apartment module whose placement — not its internal configuration — generates spatial variety. Community emerges from the interstitial spaces created between modules: the corridor as shared living room, the sectional void as cross-floor encounter zone, the facade gap as neighbourhood balcony.</w:t>
      </w:r>
    </w:p>
    <w:p>
      <w:pPr>
        <w:spacing w:after="0" w:before="160"/>
      </w:pPr>
      <w:r>
        <w:t xml:space="preserve"/>
      </w:r>
    </w:p>
    <w:p>
      <w:pPr>
        <w:spacing w:after="80" w:before="240"/>
      </w:pPr>
      <w:r>
        <w:rPr>
          <w:rFonts w:ascii="Arial" w:cs="Arial" w:eastAsia="Arial" w:hAnsi="Arial"/>
          <w:b/>
          <w:bCs/>
          <w:color w:val="2C2C2C"/>
          <w:sz w:val="28"/>
          <w:szCs w:val="28"/>
        </w:rPr>
        <w:t xml:space="preserve">The Module: Room → Apartment → Floor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73"/>
        <w:gridCol w:w="400"/>
        <w:gridCol w:w="4773"/>
      </w:tblGrid>
      <w:tr>
        <w:tc>
          <w:tcPr>
            <w:tcW w:type="dxa" w:w="4773"/>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Private room — section A-A: workspace + storage + sleeping mezzanine</w:t>
            </w:r>
            <w:r>
              <w:rPr>
                <w:rFonts w:ascii="Arial" w:cs="Arial" w:eastAsia="Arial" w:hAnsi="Arial"/>
                <w:color w:val="7F8C8D"/>
                <w:sz w:val="18"/>
                <w:szCs w:val="18"/>
              </w:rPr>
              <w:t xml:space="preserve"> ]</w:t>
            </w:r>
          </w:p>
        </w:tc>
        <w:tc>
          <w:tcPr>
            <w:tcW w:type="dxa" w:w="400"/>
            <w:tcBorders>
              <w:top w:val="none"/>
              <w:left w:val="none"/>
              <w:bottom w:val="none"/>
              <w:right w:val="none"/>
            </w:tcBorders>
          </w:tcPr>
          <w:p>
            <w:r>
              <w:t xml:space="preserve"/>
            </w:r>
          </w:p>
        </w:tc>
        <w:tc>
          <w:tcPr>
            <w:tcW w:type="dxa" w:w="4773"/>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Apartment unit — floor plan: 2–4 rooms around shared living / kitchen</w:t>
            </w:r>
            <w:r>
              <w:rPr>
                <w:rFonts w:ascii="Arial" w:cs="Arial" w:eastAsia="Arial" w:hAnsi="Arial"/>
                <w:color w:val="7F8C8D"/>
                <w:sz w:val="18"/>
                <w:szCs w:val="18"/>
              </w:rPr>
              <w:t xml:space="preserve"> ]</w:t>
            </w:r>
          </w:p>
        </w:tc>
      </w:tr>
    </w:tbl>
    <w:p>
      <w:pPr>
        <w:spacing w:after="180" w:before="60"/>
        <w:jc w:val="center"/>
      </w:pPr>
      <w:r>
        <w:rPr>
          <w:rFonts w:ascii="Arial" w:cs="Arial" w:eastAsia="Arial" w:hAnsi="Arial"/>
          <w:color w:val="7F8C8D"/>
          <w:sz w:val="17"/>
          <w:szCs w:val="17"/>
        </w:rPr>
        <w:t xml:space="preserve">Room provides minimum private programme without replacing shared space  ·  Apartment bridges room and collective floor with a designed privacy gradient</w:t>
      </w:r>
    </w:p>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CCCCCC" w:sz="4"/>
              <w:left w:val="single" w:color="CCCCCC" w:sz="4"/>
              <w:bottom w:val="single" w:color="CCCCCC" w:sz="4"/>
              <w:right w:val="single" w:color="CCCCCC" w:sz="4"/>
            </w:tcBorders>
            <w:shd w:fill="F0F0F0" w:val="clear"/>
            <w:tcMar>
              <w:top w:type="dxa" w:w="160"/>
              <w:left w:type="dxa" w:w="200"/>
              <w:bottom w:type="dxa" w:w="160"/>
              <w:right w:type="dxa" w:w="20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Apartment unit exploded axonometric — privacy hierarchy from entry (open) to bedroom (private)</w:t>
            </w:r>
            <w:r>
              <w:rPr>
                <w:rFonts w:ascii="Arial" w:cs="Arial" w:eastAsia="Arial" w:hAnsi="Arial"/>
                <w:color w:val="7F8C8D"/>
                <w:sz w:val="18"/>
                <w:szCs w:val="18"/>
              </w:rPr>
              <w:t xml:space="preserve"> ]</w:t>
            </w:r>
          </w:p>
        </w:tc>
      </w:tr>
    </w:tbl>
    <w:p>
      <w:pPr>
        <w:spacing w:after="180" w:before="60"/>
        <w:jc w:val="center"/>
      </w:pPr>
      <w:r>
        <w:rPr>
          <w:rFonts w:ascii="Arial" w:cs="Arial" w:eastAsia="Arial" w:hAnsi="Arial"/>
          <w:color w:val="7F8C8D"/>
          <w:sz w:val="17"/>
          <w:szCs w:val="17"/>
        </w:rPr>
        <w:t xml:space="preserve">Ceiling height and sightlines calibrate the transition from fully open (kitchen/living) to fully private (bedroom)</w:t>
      </w:r>
    </w:p>
    <w:p>
      <w:pPr>
        <w:spacing w:after="0" w:before="200"/>
      </w:pPr>
      <w:r>
        <w:t xml:space="preserve"/>
      </w:r>
    </w:p>
    <w:p>
      <w:pPr>
        <w:spacing w:after="80" w:before="240"/>
      </w:pPr>
      <w:r>
        <w:rPr>
          <w:rFonts w:ascii="Arial" w:cs="Arial" w:eastAsia="Arial" w:hAnsi="Arial"/>
          <w:b/>
          <w:bCs/>
          <w:color w:val="2C2C2C"/>
          <w:sz w:val="28"/>
          <w:szCs w:val="28"/>
        </w:rPr>
        <w:t xml:space="preserve">Three Building Typologies</w:t>
      </w:r>
    </w:p>
    <w:p>
      <w:pPr>
        <w:spacing w:after="100" w:before="80"/>
        <w:jc w:val="left"/>
      </w:pPr>
      <w:r>
        <w:rPr>
          <w:rFonts w:ascii="Arial" w:cs="Arial" w:eastAsia="Arial" w:hAnsi="Arial"/>
          <w:color w:val="2C2C2C"/>
          <w:sz w:val="20"/>
          <w:szCs w:val="20"/>
        </w:rPr>
        <w:t xml:space="preserve">The same module deploys in three configurations, each testing a different social hypothesis across 28 plots:</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546"/>
      </w:tblGrid>
      <w:tr>
        <w:tc>
          <w:tcPr>
            <w:tcBorders>
              <w:top w:val="single" w:color="C0392B" w:sz="8"/>
              <w:left w:val="none"/>
              <w:bottom w:val="single" w:color="CCCCCC" w:sz="4"/>
              <w:right w:val="none"/>
            </w:tcBorders>
            <w:shd w:fill="FAFAFA" w:val="clear"/>
            <w:tcMar>
              <w:top w:type="dxa" w:w="100"/>
              <w:left w:type="dxa" w:w="120"/>
              <w:bottom w:type="dxa" w:w="100"/>
              <w:right w:type="dxa" w:w="120"/>
            </w:tcMar>
          </w:tcPr>
          <w:p>
            <w:r>
              <w:rPr>
                <w:rFonts w:ascii="Arial" w:cs="Arial" w:eastAsia="Arial" w:hAnsi="Arial"/>
                <w:b/>
                <w:bCs/>
                <w:color w:val="C0392B"/>
                <w:sz w:val="18"/>
                <w:szCs w:val="18"/>
              </w:rPr>
              <w:t xml:space="preserve">Typology</w:t>
            </w:r>
          </w:p>
        </w:tc>
        <w:tc>
          <w:tcPr>
            <w:tcBorders>
              <w:top w:val="single" w:color="C0392B" w:sz="8"/>
              <w:left w:val="none"/>
              <w:bottom w:val="single" w:color="CCCCCC" w:sz="4"/>
              <w:right w:val="none"/>
            </w:tcBorders>
            <w:shd w:fill="FAFAFA" w:val="clear"/>
            <w:tcMar>
              <w:top w:type="dxa" w:w="100"/>
              <w:left w:type="dxa" w:w="120"/>
              <w:bottom w:type="dxa" w:w="100"/>
              <w:right w:type="dxa" w:w="120"/>
            </w:tcMar>
          </w:tcPr>
          <w:p>
            <w:r>
              <w:rPr>
                <w:rFonts w:ascii="Arial" w:cs="Arial" w:eastAsia="Arial" w:hAnsi="Arial"/>
                <w:b/>
                <w:bCs/>
                <w:color w:val="C0392B"/>
                <w:sz w:val="18"/>
                <w:szCs w:val="18"/>
              </w:rPr>
              <w:t xml:space="preserve">Character</w:t>
            </w:r>
          </w:p>
        </w:tc>
        <w:tc>
          <w:tcPr>
            <w:tcBorders>
              <w:top w:val="single" w:color="C0392B" w:sz="8"/>
              <w:left w:val="none"/>
              <w:bottom w:val="single" w:color="CCCCCC" w:sz="4"/>
              <w:right w:val="none"/>
            </w:tcBorders>
            <w:shd w:fill="FAFAFA" w:val="clear"/>
            <w:tcMar>
              <w:top w:type="dxa" w:w="100"/>
              <w:left w:type="dxa" w:w="120"/>
              <w:bottom w:type="dxa" w:w="100"/>
              <w:right w:type="dxa" w:w="120"/>
            </w:tcMar>
          </w:tcPr>
          <w:p>
            <w:r>
              <w:rPr>
                <w:rFonts w:ascii="Arial" w:cs="Arial" w:eastAsia="Arial" w:hAnsi="Arial"/>
                <w:b/>
                <w:bCs/>
                <w:color w:val="C0392B"/>
                <w:sz w:val="18"/>
                <w:szCs w:val="18"/>
              </w:rPr>
              <w:t xml:space="preserve">Beds</w:t>
            </w:r>
          </w:p>
        </w:tc>
        <w:tc>
          <w:tcPr>
            <w:tcBorders>
              <w:top w:val="single" w:color="C0392B" w:sz="8"/>
              <w:left w:val="none"/>
              <w:bottom w:val="single" w:color="CCCCCC" w:sz="4"/>
              <w:right w:val="none"/>
            </w:tcBorders>
            <w:shd w:fill="FAFAFA" w:val="clear"/>
            <w:tcMar>
              <w:top w:type="dxa" w:w="100"/>
              <w:left w:type="dxa" w:w="120"/>
              <w:bottom w:type="dxa" w:w="100"/>
              <w:right w:type="dxa" w:w="120"/>
            </w:tcMar>
          </w:tcPr>
          <w:p>
            <w:r>
              <w:rPr>
                <w:rFonts w:ascii="Arial" w:cs="Arial" w:eastAsia="Arial" w:hAnsi="Arial"/>
                <w:b/>
                <w:bCs/>
                <w:color w:val="C0392B"/>
                <w:sz w:val="18"/>
                <w:szCs w:val="18"/>
              </w:rPr>
              <w:t xml:space="preserve">Plots</w:t>
            </w:r>
          </w:p>
        </w:tc>
      </w:tr>
      <w:tr>
        <w:tc>
          <w:tcPr>
            <w:tcW w:type="dxa" w:w="1800"/>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Type A — Corridor / Urban</w:t>
            </w:r>
          </w:p>
        </w:tc>
        <w:tc>
          <w:tcPr>
            <w:tcW w:type="dxa" w:w="2000"/>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6 floors · corridor-based · ground-floor commercial · rooftop community · main boulevard</w:t>
            </w:r>
          </w:p>
        </w:tc>
        <w:tc>
          <w:tcPr>
            <w:tcW w:type="dxa" w:w="1400"/>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~3,100</w:t>
            </w:r>
          </w:p>
        </w:tc>
        <w:tc>
          <w:tcPr>
            <w:tcW w:type="dxa" w:w="4546"/>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16</w:t>
            </w:r>
          </w:p>
        </w:tc>
      </w:tr>
      <w:tr>
        <w:tc>
          <w:tcPr>
            <w:tcW w:type="dxa" w:w="1800"/>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Type B — Cluster / Mixed</w:t>
            </w:r>
          </w:p>
        </w:tc>
        <w:tc>
          <w:tcPr>
            <w:tcW w:type="dxa" w:w="2000"/>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4 floors · cluster-based · follows topography · internal promenade · topographic community spaces</w:t>
            </w:r>
          </w:p>
        </w:tc>
        <w:tc>
          <w:tcPr>
            <w:tcW w:type="dxa" w:w="1400"/>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~1,100</w:t>
            </w:r>
          </w:p>
        </w:tc>
        <w:tc>
          <w:tcPr>
            <w:tcW w:type="dxa" w:w="4546"/>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6</w:t>
            </w:r>
          </w:p>
        </w:tc>
      </w:tr>
      <w:tr>
        <w:tc>
          <w:tcPr>
            <w:tcW w:type="dxa" w:w="1800"/>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Type C — Scattered / Rural</w:t>
            </w:r>
          </w:p>
        </w:tc>
        <w:tc>
          <w:tcPr>
            <w:tcW w:type="dxa" w:w="2000"/>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3 floors · no fixed boundary · scattered plex · community in spatial voids · most communal character</w:t>
            </w:r>
          </w:p>
        </w:tc>
        <w:tc>
          <w:tcPr>
            <w:tcW w:type="dxa" w:w="1400"/>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~800</w:t>
            </w:r>
          </w:p>
        </w:tc>
        <w:tc>
          <w:tcPr>
            <w:tcW w:type="dxa" w:w="4546"/>
            <w:tcBorders>
              <w:top w:val="none"/>
              <w:left w:val="none"/>
              <w:bottom w:val="single" w:color="CCCCCC" w:sz="4"/>
              <w:right w:val="none"/>
            </w:tcBorders>
            <w:tcMar>
              <w:top w:type="dxa" w:w="80"/>
              <w:left w:type="dxa" w:w="120"/>
              <w:bottom w:type="dxa" w:w="80"/>
              <w:right w:type="dxa" w:w="120"/>
            </w:tcMar>
          </w:tcPr>
          <w:p>
            <w:r>
              <w:rPr>
                <w:rFonts w:ascii="Arial" w:cs="Arial" w:eastAsia="Arial" w:hAnsi="Arial"/>
                <w:color w:val="2C2C2C"/>
                <w:sz w:val="17"/>
                <w:szCs w:val="17"/>
              </w:rPr>
              <w:t xml:space="preserve">6</w:t>
            </w:r>
          </w:p>
        </w:tc>
      </w:tr>
    </w:tbl>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73"/>
        <w:gridCol w:w="400"/>
        <w:gridCol w:w="4773"/>
      </w:tblGrid>
      <w:tr>
        <w:tc>
          <w:tcPr>
            <w:tcW w:type="dxa" w:w="4773"/>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Type A — Urban corridor typology, building section &amp; facade</w:t>
            </w:r>
            <w:r>
              <w:rPr>
                <w:rFonts w:ascii="Arial" w:cs="Arial" w:eastAsia="Arial" w:hAnsi="Arial"/>
                <w:color w:val="7F8C8D"/>
                <w:sz w:val="18"/>
                <w:szCs w:val="18"/>
              </w:rPr>
              <w:t xml:space="preserve"> ]</w:t>
            </w:r>
          </w:p>
        </w:tc>
        <w:tc>
          <w:tcPr>
            <w:tcW w:type="dxa" w:w="400"/>
            <w:tcBorders>
              <w:top w:val="none"/>
              <w:left w:val="none"/>
              <w:bottom w:val="none"/>
              <w:right w:val="none"/>
            </w:tcBorders>
          </w:tcPr>
          <w:p>
            <w:r>
              <w:t xml:space="preserve"/>
            </w:r>
          </w:p>
        </w:tc>
        <w:tc>
          <w:tcPr>
            <w:tcW w:type="dxa" w:w="4773"/>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Type B — Mixed cluster typology, floor plan &amp; section</w:t>
            </w:r>
            <w:r>
              <w:rPr>
                <w:rFonts w:ascii="Arial" w:cs="Arial" w:eastAsia="Arial" w:hAnsi="Arial"/>
                <w:color w:val="7F8C8D"/>
                <w:sz w:val="18"/>
                <w:szCs w:val="18"/>
              </w:rPr>
              <w:t xml:space="preserve"> ]</w:t>
            </w:r>
          </w:p>
        </w:tc>
      </w:tr>
    </w:tbl>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CCCCCC" w:sz="4"/>
              <w:left w:val="single" w:color="CCCCCC" w:sz="4"/>
              <w:bottom w:val="single" w:color="CCCCCC" w:sz="4"/>
              <w:right w:val="single" w:color="CCCCCC" w:sz="4"/>
            </w:tcBorders>
            <w:shd w:fill="F0F0F0" w:val="clear"/>
            <w:tcMar>
              <w:top w:type="dxa" w:w="160"/>
              <w:left w:type="dxa" w:w="200"/>
              <w:bottom w:type="dxa" w:w="160"/>
              <w:right w:type="dxa" w:w="20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Type C — Rural scattered typology, site plan &amp; section</w:t>
            </w:r>
            <w:r>
              <w:rPr>
                <w:rFonts w:ascii="Arial" w:cs="Arial" w:eastAsia="Arial" w:hAnsi="Arial"/>
                <w:color w:val="7F8C8D"/>
                <w:sz w:val="18"/>
                <w:szCs w:val="18"/>
              </w:rPr>
              <w:t xml:space="preserve"> ]</w:t>
            </w:r>
          </w:p>
        </w:tc>
      </w:tr>
    </w:tbl>
    <w:p>
      <w:pPr>
        <w:spacing w:after="180" w:before="60"/>
        <w:jc w:val="center"/>
      </w:pPr>
      <w:r>
        <w:rPr>
          <w:rFonts w:ascii="Arial" w:cs="Arial" w:eastAsia="Arial" w:hAnsi="Arial"/>
          <w:color w:val="7F8C8D"/>
          <w:sz w:val="17"/>
          <w:szCs w:val="17"/>
        </w:rPr>
        <w:t xml:space="preserve">Three typologies, one module — spatial variation emerges from configuration, not from different unit designs</w:t>
      </w:r>
    </w:p>
    <w:p>
      <w:pPr>
        <w:spacing w:after="0" w:before="200"/>
      </w:pPr>
      <w:r>
        <w:t xml:space="preserve"/>
      </w:r>
    </w:p>
    <w:p>
      <w:pPr>
        <w:spacing w:after="80" w:before="240"/>
      </w:pPr>
      <w:r>
        <w:rPr>
          <w:rFonts w:ascii="Arial" w:cs="Arial" w:eastAsia="Arial" w:hAnsi="Arial"/>
          <w:b/>
          <w:bCs/>
          <w:color w:val="2C2C2C"/>
          <w:sz w:val="28"/>
          <w:szCs w:val="28"/>
        </w:rPr>
        <w:t xml:space="preserve">The In-Between Space</w:t>
      </w:r>
    </w:p>
    <w:p>
      <w:pPr>
        <w:pBdr>
          <w:left w:val="single" w:color="E67E22" w:sz="16" w:space="12"/>
        </w:pBdr>
        <w:spacing w:after="160" w:before="160"/>
        <w:ind w:left="360"/>
      </w:pPr>
      <w:r>
        <w:rPr>
          <w:rFonts w:ascii="Georgia" w:cs="Georgia" w:eastAsia="Georgia" w:hAnsi="Georgia"/>
          <w:color w:val="2C2C2C"/>
          <w:sz w:val="21"/>
          <w:szCs w:val="21"/>
        </w:rPr>
        <w:t xml:space="preserve">The corridor is not a circulation spine — it is a shared living room. The section is not a stack of floors — it is a social landscape. The facade is not a boundary — it is a membrane of controlled exposure.</w:t>
      </w:r>
    </w:p>
    <w:p>
      <w:pPr>
        <w:spacing w:after="100" w:before="80"/>
        <w:jc w:val="left"/>
      </w:pPr>
      <w:r>
        <w:rPr>
          <w:rFonts w:ascii="Arial" w:cs="Arial" w:eastAsia="Arial" w:hAnsi="Arial"/>
          <w:color w:val="2C2C2C"/>
          <w:sz w:val="20"/>
          <w:szCs w:val="20"/>
        </w:rPr>
        <w:t xml:space="preserve">Each floor uses a structural grid that can hold more apartments than are placed. The resulting spatial voids — at varying scales — create communal niches from large shared lounges to intimate alcoves. Shared wall configurations let residents control the degree of openness between their apartment and the floor corridor. Sectional offsets between floors, deliberate stairwell incursion into residential levels, and staggered facade balconies extend the social field vertically.</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CCCCCC" w:sz="4"/>
              <w:left w:val="single" w:color="CCCCCC" w:sz="4"/>
              <w:bottom w:val="single" w:color="CCCCCC" w:sz="4"/>
              <w:right w:val="single" w:color="CCCCCC" w:sz="4"/>
            </w:tcBorders>
            <w:shd w:fill="F0F0F0" w:val="clear"/>
            <w:tcMar>
              <w:top w:type="dxa" w:w="160"/>
              <w:left w:type="dxa" w:w="200"/>
              <w:bottom w:type="dxa" w:w="160"/>
              <w:right w:type="dxa" w:w="20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Axonometric — 'breathing building': stairwell incursion, offset floors, staggered balconies</w:t>
            </w:r>
            <w:r>
              <w:rPr>
                <w:rFonts w:ascii="Arial" w:cs="Arial" w:eastAsia="Arial" w:hAnsi="Arial"/>
                <w:color w:val="7F8C8D"/>
                <w:sz w:val="18"/>
                <w:szCs w:val="18"/>
              </w:rPr>
              <w:t xml:space="preserve"> ]</w:t>
            </w:r>
          </w:p>
        </w:tc>
      </w:tr>
    </w:tbl>
    <w:p>
      <w:pPr>
        <w:spacing w:after="180" w:before="60"/>
        <w:jc w:val="center"/>
      </w:pPr>
      <w:r>
        <w:rPr>
          <w:rFonts w:ascii="Arial" w:cs="Arial" w:eastAsia="Arial" w:hAnsi="Arial"/>
          <w:color w:val="7F8C8D"/>
          <w:sz w:val="17"/>
          <w:szCs w:val="17"/>
        </w:rPr>
        <w:t xml:space="preserve">The building section as a social instrument: vertical movement as communal encounter</w:t>
      </w:r>
    </w:p>
    <w:p>
      <w:pPr>
        <w:spacing w:after="0" w:before="200"/>
      </w:pPr>
      <w:r>
        <w:t xml:space="preserve"/>
      </w:r>
    </w:p>
    <w:p>
      <w:pPr>
        <w:spacing w:after="80" w:before="240"/>
      </w:pPr>
      <w:r>
        <w:rPr>
          <w:rFonts w:ascii="Arial" w:cs="Arial" w:eastAsia="Arial" w:hAnsi="Arial"/>
          <w:b/>
          <w:bCs/>
          <w:color w:val="2C2C2C"/>
          <w:sz w:val="28"/>
          <w:szCs w:val="28"/>
        </w:rPr>
        <w:t xml:space="preserve">Grounded in Evidence — The Seminar Research</w:t>
      </w:r>
    </w:p>
    <w:p>
      <w:pPr>
        <w:spacing w:after="100" w:before="80"/>
        <w:jc w:val="left"/>
      </w:pPr>
      <w:r>
        <w:rPr>
          <w:rFonts w:ascii="Arial" w:cs="Arial" w:eastAsia="Arial" w:hAnsi="Arial"/>
          <w:color w:val="2C2C2C"/>
          <w:sz w:val="20"/>
          <w:szCs w:val="20"/>
        </w:rPr>
        <w:t xml:space="preserve">This design is not speculative. Its typological strategy is directly grounded in a prior empirical study — Student Dorms Archetype as a Driving Factor in the Formation of a Sense of Community (Ariel University, 2022) — which used SCI-2 and URES psychometric instruments alongside passive GPS telemetry to compare the two existing Ariel compounds. The caravan scattered-plex scored 3.9/5 on spatial quality against the mid-rise cluster's 2.9/5, with corresponding quantitative differences in Sense of Community. Those findings — which spatial features drive belonging and which suppress it — shaped the void strategy, the privacy gradient, the typology mix, and the community-space hierarchy across all three building types. The measurement infrastructure (NKDT Points app, privacy-by-design GPS pipeline) developed for that study becomes the lab's ongoing instrument.</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73"/>
        <w:gridCol w:w="400"/>
        <w:gridCol w:w="4773"/>
      </w:tblGrid>
      <w:tr>
        <w:tc>
          <w:tcPr>
            <w:tcW w:type="dxa" w:w="4773"/>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Seminar: SCI-2 bar chart — caravan vs mid-rise compound scores</w:t>
            </w:r>
            <w:r>
              <w:rPr>
                <w:rFonts w:ascii="Arial" w:cs="Arial" w:eastAsia="Arial" w:hAnsi="Arial"/>
                <w:color w:val="7F8C8D"/>
                <w:sz w:val="18"/>
                <w:szCs w:val="18"/>
              </w:rPr>
              <w:t xml:space="preserve"> ]</w:t>
            </w:r>
          </w:p>
        </w:tc>
        <w:tc>
          <w:tcPr>
            <w:tcW w:type="dxa" w:w="400"/>
            <w:tcBorders>
              <w:top w:val="none"/>
              <w:left w:val="none"/>
              <w:bottom w:val="none"/>
              <w:right w:val="none"/>
            </w:tcBorders>
          </w:tcPr>
          <w:p>
            <w:r>
              <w:t xml:space="preserve"/>
            </w:r>
          </w:p>
        </w:tc>
        <w:tc>
          <w:tcPr>
            <w:tcW w:type="dxa" w:w="4773"/>
            <w:tcBorders>
              <w:top w:val="single" w:color="CCCCCC" w:sz="4"/>
              <w:left w:val="single" w:color="CCCCCC" w:sz="4"/>
              <w:bottom w:val="single" w:color="CCCCCC" w:sz="4"/>
              <w:right w:val="single" w:color="CCCCCC" w:sz="4"/>
            </w:tcBorders>
            <w:shd w:fill="F0F0F0" w:val="clear"/>
            <w:tcMar>
              <w:top w:type="dxa" w:w="120"/>
              <w:left w:type="dxa" w:w="160"/>
              <w:bottom w:type="dxa" w:w="120"/>
              <w:right w:type="dxa" w:w="16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Seminar: Qualitative spatial scores — 7 parameters, both compounds</w:t>
            </w:r>
            <w:r>
              <w:rPr>
                <w:rFonts w:ascii="Arial" w:cs="Arial" w:eastAsia="Arial" w:hAnsi="Arial"/>
                <w:color w:val="7F8C8D"/>
                <w:sz w:val="18"/>
                <w:szCs w:val="18"/>
              </w:rPr>
              <w:t xml:space="preserve"> ]</w:t>
            </w:r>
          </w:p>
        </w:tc>
      </w:tr>
    </w:tbl>
    <w:p>
      <w:pPr>
        <w:spacing w:after="180" w:before="60"/>
        <w:jc w:val="center"/>
      </w:pPr>
      <w:r>
        <w:rPr>
          <w:rFonts w:ascii="Arial" w:cs="Arial" w:eastAsia="Arial" w:hAnsi="Arial"/>
          <w:color w:val="7F8C8D"/>
          <w:sz w:val="17"/>
          <w:szCs w:val="17"/>
        </w:rPr>
        <w:t xml:space="preserve">Seminar findings feeding directly into the NKDT design hypothesis — scattered-plex spatial DNA embedded in all three typologies</w:t>
      </w:r>
    </w:p>
    <w:p>
      <w:pPr>
        <w:spacing w:after="0" w:before="200"/>
      </w:pPr>
      <w:r>
        <w:t xml:space="preserve"/>
      </w:r>
    </w:p>
    <w:p>
      <w:pPr>
        <w:spacing w:after="80" w:before="240"/>
      </w:pPr>
      <w:r>
        <w:rPr>
          <w:rFonts w:ascii="Arial" w:cs="Arial" w:eastAsia="Arial" w:hAnsi="Arial"/>
          <w:b/>
          <w:bCs/>
          <w:color w:val="2C2C2C"/>
          <w:sz w:val="28"/>
          <w:szCs w:val="28"/>
        </w:rPr>
        <w:t xml:space="preserve">The Feedback Loop</w:t>
      </w:r>
    </w:p>
    <w:p>
      <w:pPr>
        <w:spacing w:after="100" w:before="80"/>
        <w:jc w:val="left"/>
      </w:pPr>
      <w:r>
        <w:rPr>
          <w:rFonts w:ascii="Arial" w:cs="Arial" w:eastAsia="Arial" w:hAnsi="Arial"/>
          <w:color w:val="2C2C2C"/>
          <w:sz w:val="20"/>
          <w:szCs w:val="20"/>
        </w:rPr>
        <w:t xml:space="preserve">As the complex operates, data accumulates across semesters — SCI-2, URES, GPA delta, GPS telemetry — and informs incremental modifications to void placement, shared-wall positions, and community programme. The building evolves toward greater community efficacy through empirical iteration rather than speculative one-off design.</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CCCCCC" w:sz="4"/>
              <w:left w:val="single" w:color="CCCCCC" w:sz="4"/>
              <w:bottom w:val="single" w:color="CCCCCC" w:sz="4"/>
              <w:right w:val="single" w:color="CCCCCC" w:sz="4"/>
            </w:tcBorders>
            <w:shd w:fill="F0F0F0" w:val="clear"/>
            <w:tcMar>
              <w:top w:type="dxa" w:w="160"/>
              <w:left w:type="dxa" w:w="200"/>
              <w:bottom w:type="dxa" w:w="160"/>
              <w:right w:type="dxa" w:w="200"/>
            </w:tcMar>
            <w:vAlign w:val="center"/>
          </w:tcPr>
          <w:p>
            <w:pPr>
              <w:jc w:val="center"/>
            </w:pPr>
            <w:r>
              <w:rPr>
                <w:rFonts w:ascii="Arial" w:cs="Arial" w:eastAsia="Arial" w:hAnsi="Arial"/>
                <w:color w:val="7F8C8D"/>
                <w:sz w:val="18"/>
                <w:szCs w:val="18"/>
              </w:rPr>
              <w:t xml:space="preserve">[ IMAGE: </w:t>
            </w:r>
            <w:r>
              <w:rPr>
                <w:rFonts w:ascii="Arial" w:cs="Arial" w:eastAsia="Arial" w:hAnsi="Arial"/>
                <w:b/>
                <w:bCs/>
                <w:color w:val="7F8C8D"/>
                <w:sz w:val="18"/>
                <w:szCs w:val="18"/>
              </w:rPr>
              <w:t xml:space="preserve">Feedback loop diagram: spatial design → data collection → statistical analysis → incremental update → repeat</w:t>
            </w:r>
            <w:r>
              <w:rPr>
                <w:rFonts w:ascii="Arial" w:cs="Arial" w:eastAsia="Arial" w:hAnsi="Arial"/>
                <w:color w:val="7F8C8D"/>
                <w:sz w:val="18"/>
                <w:szCs w:val="18"/>
              </w:rPr>
              <w:t xml:space="preserve"> ]</w:t>
            </w:r>
          </w:p>
        </w:tc>
      </w:tr>
    </w:tbl>
    <w:p>
      <w:pPr>
        <w:spacing w:after="180" w:before="60"/>
        <w:jc w:val="center"/>
      </w:pPr>
      <w:r>
        <w:rPr>
          <w:rFonts w:ascii="Arial" w:cs="Arial" w:eastAsia="Arial" w:hAnsi="Arial"/>
          <w:color w:val="7F8C8D"/>
          <w:sz w:val="17"/>
          <w:szCs w:val="17"/>
        </w:rPr>
        <w:t xml:space="preserve">Architecture-as-laboratory: each spatial iteration is simultaneously intervention and measurement</w:t>
      </w:r>
    </w:p>
    <w:p>
      <w:pPr>
        <w:sectPr>
          <w:headerReference w:type="default" r:id="rId11"/>
          <w:footerReference w:type="default" r:id="rId12"/>
          <w:type w:val="nextPage"/>
          <w:pgSz w:w="11906" w:h="16838" w:orient="portrait"/>
          <w:pgMar w:top="1080" w:right="1080" w:bottom="1080" w:left="1080" w:header="708" w:footer="708" w:gutter="0"/>
          <w:pgNumType/>
          <w:docGrid w:linePitch="360"/>
        </w:sectPr>
      </w:pPr>
    </w:p>
    <w:p>
      <w:pPr>
        <w:spacing w:after="60" w:before="320"/>
        <w:jc w:val="left"/>
      </w:pPr>
      <w:r>
        <w:rPr>
          <w:rFonts w:ascii="Arial" w:cs="Arial" w:eastAsia="Arial" w:hAnsi="Arial"/>
          <w:color w:val="7F8C8D"/>
          <w:sz w:val="20"/>
          <w:szCs w:val="20"/>
        </w:rPr>
        <w:t xml:space="preserve">— </w:t>
      </w:r>
      <w:r>
        <w:rPr>
          <w:rFonts w:ascii="Arial" w:cs="Arial" w:eastAsia="Arial" w:hAnsi="Arial"/>
          <w:b/>
          <w:bCs/>
          <w:color w:val="7F8C8D"/>
          <w:sz w:val="20"/>
          <w:szCs w:val="20"/>
        </w:rPr>
        <w:t xml:space="preserve">PROJECT SUMMARY</w:t>
      </w:r>
      <w:r>
        <w:rPr>
          <w:rFonts w:ascii="Arial" w:cs="Arial" w:eastAsia="Arial" w:hAnsi="Arial"/>
          <w:color w:val="7F8C8D"/>
          <w:sz w:val="20"/>
          <w:szCs w:val="20"/>
        </w:rPr>
        <w:t xml:space="preserve"> —</w:t>
      </w:r>
    </w:p>
    <w:p>
      <w:pPr>
        <w:spacing w:after="120" w:before="60"/>
      </w:pPr>
      <w:r>
        <w:rPr>
          <w:rFonts w:ascii="Arial" w:cs="Arial" w:eastAsia="Arial" w:hAnsi="Arial"/>
          <w:b/>
          <w:bCs/>
          <w:color w:val="2C2C2C"/>
          <w:sz w:val="36"/>
          <w:szCs w:val="36"/>
        </w:rPr>
        <w:t xml:space="preserve">NKDT — By the Numbers</w:t>
      </w:r>
    </w:p>
    <w:p>
      <w:pPr>
        <w:pBdr>
          <w:bottom w:val="single" w:color="7F8C8D" w:sz="8"/>
        </w:pBdr>
        <w:spacing w:after="200" w:before="60"/>
      </w:pP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none"/>
              <w:left w:val="none"/>
              <w:bottom w:val="none"/>
              <w:right w:val="none"/>
            </w:tcBorders>
            <w:shd w:fill="F8F8F8" w:val="clear"/>
            <w:tcMar>
              <w:top w:type="dxa" w:w="140"/>
              <w:left w:type="dxa" w:w="100"/>
              <w:bottom w:type="dxa" w:w="140"/>
              <w:right w:type="dxa" w:w="100"/>
            </w:tcMar>
            <w:vAlign w:val="center"/>
          </w:tcPr>
          <w:p>
            <w:pPr>
              <w:jc w:val="center"/>
            </w:pPr>
            <w:r>
              <w:rPr>
                <w:rFonts w:ascii="Arial" w:cs="Arial" w:eastAsia="Arial" w:hAnsi="Arial"/>
                <w:b/>
                <w:bCs/>
                <w:color w:val="C0392B"/>
                <w:sz w:val="48"/>
                <w:szCs w:val="48"/>
              </w:rPr>
              <w:t xml:space="preserve">~5,000</w:t>
            </w:r>
          </w:p>
          <w:p>
            <w:pPr>
              <w:jc w:val="center"/>
            </w:pPr>
            <w:r>
              <w:rPr>
                <w:rFonts w:ascii="Arial" w:cs="Arial" w:eastAsia="Arial" w:hAnsi="Arial"/>
                <w:color w:val="7F8C8D"/>
                <w:sz w:val="17"/>
                <w:szCs w:val="17"/>
              </w:rPr>
              <w:t xml:space="preserve">Total beds</w:t>
            </w:r>
          </w:p>
        </w:tc>
        <w:tc>
          <w:tcPr>
            <w:tcW w:type="dxa" w:w="2436"/>
            <w:tcBorders>
              <w:top w:val="none"/>
              <w:left w:val="none"/>
              <w:bottom w:val="none"/>
              <w:right w:val="none"/>
            </w:tcBorders>
            <w:shd w:fill="F8F8F8" w:val="clear"/>
            <w:tcMar>
              <w:top w:type="dxa" w:w="140"/>
              <w:left w:type="dxa" w:w="100"/>
              <w:bottom w:type="dxa" w:w="140"/>
              <w:right w:type="dxa" w:w="100"/>
            </w:tcMar>
            <w:vAlign w:val="center"/>
          </w:tcPr>
          <w:p>
            <w:pPr>
              <w:jc w:val="center"/>
            </w:pPr>
            <w:r>
              <w:rPr>
                <w:rFonts w:ascii="Arial" w:cs="Arial" w:eastAsia="Arial" w:hAnsi="Arial"/>
                <w:b/>
                <w:bCs/>
                <w:color w:val="2980B9"/>
                <w:sz w:val="48"/>
                <w:szCs w:val="48"/>
              </w:rPr>
              <w:t xml:space="preserve">3</w:t>
            </w:r>
          </w:p>
          <w:p>
            <w:pPr>
              <w:jc w:val="center"/>
            </w:pPr>
            <w:r>
              <w:rPr>
                <w:rFonts w:ascii="Arial" w:cs="Arial" w:eastAsia="Arial" w:hAnsi="Arial"/>
                <w:color w:val="7F8C8D"/>
                <w:sz w:val="17"/>
                <w:szCs w:val="17"/>
              </w:rPr>
              <w:t xml:space="preserve">Building typologies</w:t>
            </w:r>
          </w:p>
        </w:tc>
        <w:tc>
          <w:tcPr>
            <w:tcW w:type="dxa" w:w="2436"/>
            <w:tcBorders>
              <w:top w:val="none"/>
              <w:left w:val="none"/>
              <w:bottom w:val="none"/>
              <w:right w:val="none"/>
            </w:tcBorders>
            <w:shd w:fill="F8F8F8" w:val="clear"/>
            <w:tcMar>
              <w:top w:type="dxa" w:w="140"/>
              <w:left w:type="dxa" w:w="100"/>
              <w:bottom w:type="dxa" w:w="140"/>
              <w:right w:type="dxa" w:w="100"/>
            </w:tcMar>
            <w:vAlign w:val="center"/>
          </w:tcPr>
          <w:p>
            <w:pPr>
              <w:jc w:val="center"/>
            </w:pPr>
            <w:r>
              <w:rPr>
                <w:rFonts w:ascii="Arial" w:cs="Arial" w:eastAsia="Arial" w:hAnsi="Arial"/>
                <w:b/>
                <w:bCs/>
                <w:color w:val="27AE60"/>
                <w:sz w:val="48"/>
                <w:szCs w:val="48"/>
              </w:rPr>
              <w:t xml:space="preserve">28</w:t>
            </w:r>
          </w:p>
          <w:p>
            <w:pPr>
              <w:jc w:val="center"/>
            </w:pPr>
            <w:r>
              <w:rPr>
                <w:rFonts w:ascii="Arial" w:cs="Arial" w:eastAsia="Arial" w:hAnsi="Arial"/>
                <w:color w:val="7F8C8D"/>
                <w:sz w:val="17"/>
                <w:szCs w:val="17"/>
              </w:rPr>
              <w:t xml:space="preserve">Plots (חלקות)</w:t>
            </w:r>
          </w:p>
        </w:tc>
        <w:tc>
          <w:tcPr>
            <w:tcW w:type="dxa" w:w="2438"/>
            <w:tcBorders>
              <w:top w:val="none"/>
              <w:left w:val="none"/>
              <w:bottom w:val="none"/>
              <w:right w:val="none"/>
            </w:tcBorders>
            <w:shd w:fill="F8F8F8" w:val="clear"/>
            <w:tcMar>
              <w:top w:type="dxa" w:w="140"/>
              <w:left w:type="dxa" w:w="100"/>
              <w:bottom w:type="dxa" w:w="140"/>
              <w:right w:type="dxa" w:w="100"/>
            </w:tcMar>
            <w:vAlign w:val="center"/>
          </w:tcPr>
          <w:p>
            <w:pPr>
              <w:jc w:val="center"/>
            </w:pPr>
            <w:r>
              <w:rPr>
                <w:rFonts w:ascii="Arial" w:cs="Arial" w:eastAsia="Arial" w:hAnsi="Arial"/>
                <w:b/>
                <w:bCs/>
                <w:color w:val="E67E22"/>
                <w:sz w:val="48"/>
                <w:szCs w:val="48"/>
              </w:rPr>
              <w:t xml:space="preserve">7</w:t>
            </w:r>
          </w:p>
          <w:p>
            <w:pPr>
              <w:jc w:val="center"/>
            </w:pPr>
            <w:r>
              <w:rPr>
                <w:rFonts w:ascii="Arial" w:cs="Arial" w:eastAsia="Arial" w:hAnsi="Arial"/>
                <w:color w:val="7F8C8D"/>
                <w:sz w:val="17"/>
                <w:szCs w:val="17"/>
              </w:rPr>
              <w:t xml:space="preserve">Neighbourhoods</w:t>
            </w:r>
          </w:p>
        </w:tc>
      </w:tr>
    </w:tbl>
    <w:p>
      <w:pPr>
        <w:spacing w:after="0" w:before="280"/>
      </w:pPr>
      <w:r>
        <w:t xml:space="preserve"/>
      </w:r>
    </w:p>
    <w:p>
      <w:pPr>
        <w:pBdr>
          <w:left w:val="single" w:color="C0392B" w:sz="16" w:space="12"/>
        </w:pBdr>
        <w:spacing w:after="160" w:before="160"/>
        <w:ind w:left="360"/>
      </w:pPr>
      <w:r>
        <w:rPr>
          <w:rFonts w:ascii="Georgia" w:cs="Georgia" w:eastAsia="Georgia" w:hAnsi="Georgia"/>
          <w:color w:val="2C2C2C"/>
          <w:sz w:val="21"/>
          <w:szCs w:val="21"/>
        </w:rPr>
        <w:t xml:space="preserve">The truest architectural ambition of NKDT is not the building itself — it is the methodology: a proof of concept that spatial quality can be measured, iterated, and progressively refined, replacing intuition with evidence at every scale from the private room to the city edge.</w:t>
      </w:r>
    </w:p>
    <w:p>
      <w:pPr>
        <w:spacing w:after="0" w:before="280"/>
      </w:pPr>
      <w:r>
        <w:t xml:space="preserve"/>
      </w:r>
    </w:p>
    <w:p>
      <w:pPr>
        <w:pBdr>
          <w:bottom w:val="single" w:color="CCCCCC" w:sz="2"/>
        </w:pBdr>
        <w:spacing w:after="80" w:before="80"/>
      </w:pPr>
    </w:p>
    <w:p>
      <w:pPr>
        <w:spacing w:after="0" w:before="80"/>
      </w:pPr>
      <w:r>
        <w:t xml:space="preserve"/>
      </w:r>
    </w:p>
    <w:p>
      <w:pPr>
        <w:spacing w:after="60" w:before="0"/>
        <w:jc w:val="center"/>
      </w:pPr>
      <w:r>
        <w:rPr>
          <w:rFonts w:ascii="Arial" w:cs="Arial" w:eastAsia="Arial" w:hAnsi="Arial"/>
          <w:b/>
          <w:bCs/>
          <w:color w:val="2C2C2C"/>
          <w:sz w:val="26"/>
          <w:szCs w:val="26"/>
        </w:rPr>
        <w:t xml:space="preserve">Doron Anhang</w:t>
      </w:r>
    </w:p>
    <w:p>
      <w:pPr>
        <w:jc w:val="center"/>
      </w:pPr>
      <w:r>
        <w:rPr>
          <w:rFonts w:ascii="Arial" w:cs="Arial" w:eastAsia="Arial" w:hAnsi="Arial"/>
          <w:color w:val="7F8C8D"/>
          <w:sz w:val="18"/>
          <w:szCs w:val="18"/>
        </w:rPr>
        <w:t xml:space="preserve">Final Project — 5th Year Architecture  ·  Ariel University, 2022</w:t>
      </w:r>
    </w:p>
    <w:p>
      <w:pPr>
        <w:jc w:val="center"/>
      </w:pPr>
      <w:r>
        <w:rPr>
          <w:rFonts w:ascii="Arial" w:cs="Arial" w:eastAsia="Arial" w:hAnsi="Arial"/>
          <w:color w:val="7F8C8D"/>
          <w:sz w:val="18"/>
          <w:szCs w:val="18"/>
        </w:rPr>
        <w:t xml:space="preserve">Supervisor: Daniel Azrad</w:t>
      </w:r>
    </w:p>
    <w:p>
      <w:pPr>
        <w:spacing w:after="0" w:before="80"/>
      </w:pPr>
      <w:r>
        <w:t xml:space="preserve"/>
      </w:r>
    </w:p>
    <w:p>
      <w:pPr>
        <w:spacing w:after="0" w:before="0"/>
        <w:jc w:val="center"/>
      </w:pPr>
      <w:hyperlink w:history="1" r:id="rIddg_wvmj_fbu_4vl98lffl">
        <w:r>
          <w:rPr>
            <w:rStyle w:val="Hyperlink"/>
            <w:rFonts w:ascii="Arial" w:cs="Arial" w:eastAsia="Arial" w:hAnsi="Arial"/>
            <w:color w:val="2980B9"/>
            <w:sz w:val="18"/>
            <w:szCs w:val="18"/>
          </w:rPr>
          <w:t xml:space="preserve">Seminar Paper (Published) ↗</w:t>
        </w:r>
      </w:hyperlink>
      <w:r>
        <w:rPr>
          <w:rFonts w:ascii="Arial" w:cs="Arial" w:eastAsia="Arial" w:hAnsi="Arial"/>
          <w:color w:val="7F8C8D"/>
          <w:sz w:val="18"/>
          <w:szCs w:val="18"/>
        </w:rPr>
        <w:t xml:space="preserve">  ·  </w:t>
      </w:r>
      <w:hyperlink w:history="1" r:id="rId8vfwmz8bhoco9ukn9dx-e">
        <w:r>
          <w:rPr>
            <w:rStyle w:val="Hyperlink"/>
            <w:rFonts w:ascii="Arial" w:cs="Arial" w:eastAsia="Arial" w:hAnsi="Arial"/>
            <w:color w:val="2980B9"/>
            <w:sz w:val="18"/>
            <w:szCs w:val="18"/>
          </w:rPr>
          <w:t xml:space="preserve">NKDT App (GitHub) ↗</w:t>
        </w:r>
      </w:hyperlink>
      <w:r>
        <w:rPr>
          <w:rFonts w:ascii="Arial" w:cs="Arial" w:eastAsia="Arial" w:hAnsi="Arial"/>
          <w:color w:val="7F8C8D"/>
          <w:sz w:val="18"/>
          <w:szCs w:val="18"/>
        </w:rPr>
        <w:t xml:space="preserve">  ·  </w:t>
      </w:r>
      <w:hyperlink w:history="1" r:id="rIdi_55o9o6gf4ifkdeyyqe_">
        <w:r>
          <w:rPr>
            <w:rStyle w:val="Hyperlink"/>
            <w:rFonts w:ascii="Arial" w:cs="Arial" w:eastAsia="Arial" w:hAnsi="Arial"/>
            <w:color w:val="2980B9"/>
            <w:sz w:val="18"/>
            <w:szCs w:val="18"/>
          </w:rPr>
          <w:t xml:space="preserve">NKDT API (GitHub) ↗</w:t>
        </w:r>
      </w:hyperlink>
    </w:p>
    <w:sectPr>
      <w:headerReference w:type="default" r:id="rId13"/>
      <w:footerReference w:type="default" r:id="rId14"/>
      <w:type w:val="nextPage"/>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7"/>
        <w:szCs w:val="17"/>
      </w:rPr>
      <w:t xml:space="preserve">פרויקט נקודות</w:t>
    </w:r>
    <w:r>
      <w:rPr>
        <w:sz w:val="17"/>
        <w:szCs w:val="17"/>
      </w:rPr>
      <w:t xml:space="preserve">	</w:t>
    </w:r>
    <w:r>
      <w:rPr>
        <w:rFonts w:ascii="Arial" w:cs="Arial" w:eastAsia="Arial" w:hAnsi="Arial"/>
        <w:color w:val="7F8C8D"/>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7"/>
        <w:szCs w:val="17"/>
      </w:rPr>
      <w:t xml:space="preserve">פרויקט נקודות</w:t>
    </w:r>
    <w:r>
      <w:rPr>
        <w:sz w:val="17"/>
        <w:szCs w:val="17"/>
      </w:rPr>
      <w:t xml:space="preserve">	</w:t>
    </w:r>
    <w:r>
      <w:rPr>
        <w:rFonts w:ascii="Arial" w:cs="Arial" w:eastAsia="Arial" w:hAnsi="Arial"/>
        <w:color w:val="7F8C8D"/>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7"/>
        <w:szCs w:val="17"/>
      </w:rPr>
      <w:t xml:space="preserve">פרויקט נקודות</w:t>
    </w:r>
    <w:r>
      <w:rPr>
        <w:sz w:val="17"/>
        <w:szCs w:val="17"/>
      </w:rPr>
      <w:t xml:space="preserve">	</w:t>
    </w:r>
    <w:r>
      <w:rPr>
        <w:rFonts w:ascii="Arial" w:cs="Arial" w:eastAsia="Arial" w:hAnsi="Arial"/>
        <w:color w:val="7F8C8D"/>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7"/>
        <w:szCs w:val="17"/>
      </w:rPr>
      <w:t xml:space="preserve">פרויקט נקודות</w:t>
    </w:r>
    <w:r>
      <w:rPr>
        <w:sz w:val="17"/>
        <w:szCs w:val="17"/>
      </w:rPr>
      <w:t xml:space="preserve">	</w:t>
    </w:r>
    <w:r>
      <w:rPr>
        <w:rFonts w:ascii="Arial" w:cs="Arial" w:eastAsia="Arial" w:hAnsi="Arial"/>
        <w:color w:val="7F8C8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rFonts w:ascii="Arial" w:cs="Arial" w:eastAsia="Arial" w:hAnsi="Arial"/>
        <w:color w:val="7F8C8D"/>
        <w:sz w:val="17"/>
        <w:szCs w:val="17"/>
      </w:rPr>
      <w:t xml:space="preserve">NKDT — Architectural Portfolio</w:t>
    </w:r>
    <w:r>
      <w:rPr>
        <w:rFonts w:ascii="Arial" w:cs="Arial" w:eastAsia="Arial" w:hAnsi="Arial"/>
        <w:color w:val="7F8C8D"/>
        <w:sz w:val="17"/>
        <w:szCs w:val="17"/>
      </w:rPr>
      <w:t xml:space="preserve">	Doron Anhang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rFonts w:ascii="Arial" w:cs="Arial" w:eastAsia="Arial" w:hAnsi="Arial"/>
        <w:color w:val="7F8C8D"/>
        <w:sz w:val="17"/>
        <w:szCs w:val="17"/>
      </w:rPr>
      <w:t xml:space="preserve">NKDT — Architectural Portfolio</w:t>
    </w:r>
    <w:r>
      <w:rPr>
        <w:rFonts w:ascii="Arial" w:cs="Arial" w:eastAsia="Arial" w:hAnsi="Arial"/>
        <w:color w:val="7F8C8D"/>
        <w:sz w:val="17"/>
        <w:szCs w:val="17"/>
      </w:rPr>
      <w:t xml:space="preserve">	Doron Anhang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rFonts w:ascii="Arial" w:cs="Arial" w:eastAsia="Arial" w:hAnsi="Arial"/>
        <w:color w:val="7F8C8D"/>
        <w:sz w:val="17"/>
        <w:szCs w:val="17"/>
      </w:rPr>
      <w:t xml:space="preserve">NKDT — Architectural Portfolio</w:t>
    </w:r>
    <w:r>
      <w:rPr>
        <w:rFonts w:ascii="Arial" w:cs="Arial" w:eastAsia="Arial" w:hAnsi="Arial"/>
        <w:color w:val="7F8C8D"/>
        <w:sz w:val="17"/>
        <w:szCs w:val="17"/>
      </w:rPr>
      <w:t xml:space="preserve">	Doron Anhang</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rFonts w:ascii="Arial" w:cs="Arial" w:eastAsia="Arial" w:hAnsi="Arial"/>
        <w:color w:val="7F8C8D"/>
        <w:sz w:val="17"/>
        <w:szCs w:val="17"/>
      </w:rPr>
      <w:t xml:space="preserve">NKDT — Architectural Portfolio</w:t>
    </w:r>
    <w:r>
      <w:rPr>
        <w:rFonts w:ascii="Arial" w:cs="Arial" w:eastAsia="Arial" w:hAnsi="Arial"/>
        <w:color w:val="7F8C8D"/>
        <w:sz w:val="17"/>
        <w:szCs w:val="17"/>
      </w:rPr>
      <w:t xml:space="preserve">	Doron Anhang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0392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2C2C"/>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dg_wvmj_fbu_4vl98lffl" Type="http://schemas.openxmlformats.org/officeDocument/2006/relationships/hyperlink" Target="https://dx.doi.org/10.13140/RG.2.2.32000.00001" TargetMode="External"/><Relationship Id="rId8vfwmz8bhoco9ukn9dx-e" Type="http://schemas.openxmlformats.org/officeDocument/2006/relationships/hyperlink" Target="https://github.com/DoronAn/nkdt-app" TargetMode="External"/><Relationship Id="rIdi_55o9o6gf4ifkdeyyqe_" Type="http://schemas.openxmlformats.org/officeDocument/2006/relationships/hyperlink" Target="https://github.com/DoronAn/nkdt-api"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2026-05-30T17:44:15.918Z</dcterms:created>
  <dcterms:modified xsi:type="dcterms:W3CDTF">2026-05-30T17:44:15.932Z</dcterms:modified>
</cp:coreProperties>
</file>

<file path=docProps/custom.xml><?xml version="1.0" encoding="utf-8"?>
<Properties xmlns="http://schemas.openxmlformats.org/officeDocument/2006/custom-properties" xmlns:vt="http://schemas.openxmlformats.org/officeDocument/2006/docPropsVTypes"/>
</file>