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Seminar Paper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Student Dorms Archetype as a Driving Factor in the Formation of a Sense of Community</w:t>
      </w:r>
    </w:p>
    <w:p>
      <w:pPr>
        <w:spacing w:after="320" w:before="0"/>
      </w:pPr>
      <w:r>
        <w:rPr>
          <w:rFonts w:ascii="Arial" w:cs="Arial" w:eastAsia="Arial" w:hAnsi="Arial"/>
          <w:sz w:val="22"/>
          <w:szCs w:val="22"/>
        </w:rPr>
        <w:t xml:space="preserve">Academic Seminar Paper  ·  Ariel University, 2022  ·  Supervisor: Dr. Arch. Gilad Schweid  ·  </w:t>
      </w:r>
      <w:hyperlink w:history="1" r:id="rIdpmkn0h2l9x3eb4bpf9pv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Published Paper ↗</w:t>
        </w:r>
      </w:hyperlink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Context &amp; Challenge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Visual suggestion: campus map + side-by-side compound comparison photo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Campus map — Ariel University, compound locations highlighted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Side-by-side: Caravan compound (organic layout) vs Mid-rise compound (dense towers) ]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Architectural theory frequently claims that physical environments shape human communities — yet these assertions rarely move beyond intuition into verifiable, empirical validation. This study does exactly that. Under the supervision of Dr. Arch. Gilad Schweid, it establishes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rigorous mixed-method framework</w:t>
      </w:r>
      <w:r>
        <w:rPr>
          <w:rFonts w:ascii="Arial" w:cs="Arial" w:eastAsia="Arial" w:hAnsi="Arial"/>
          <w:sz w:val="22"/>
          <w:szCs w:val="22"/>
        </w:rPr>
        <w:t xml:space="preserve"> to measure how specific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micro-spatial features</w:t>
      </w:r>
      <w:r>
        <w:rPr>
          <w:rFonts w:ascii="Arial" w:cs="Arial" w:eastAsia="Arial" w:hAnsi="Arial"/>
          <w:sz w:val="22"/>
          <w:szCs w:val="22"/>
        </w:rPr>
        <w:t xml:space="preserve"> drive or suppress a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Sense of Community (SoC)</w:t>
      </w:r>
      <w:r>
        <w:rPr>
          <w:rFonts w:ascii="Arial" w:cs="Arial" w:eastAsia="Arial" w:hAnsi="Arial"/>
          <w:sz w:val="22"/>
          <w:szCs w:val="22"/>
        </w:rPr>
        <w:t xml:space="preserve"> within institutional student housing. The research leverages a rare natural experiment: Ariel University operates two dormitory compounds on the same campus, serving the same student population, built on radically opposing architectural philosophies — controlling for the social confounders that normally make this kind of research inconclusive.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Archetypes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Visual suggestion: three archetype diagrams (Corridor / Cluster / Scattered Plex)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Corridor Plex archetype diagram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Cluster Plex archetype diagram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Scattered Plex archetype diagram ]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Student dormitory design has evolved through three canonical archetypes.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Corridor Plex</w:t>
      </w:r>
      <w:r>
        <w:rPr>
          <w:rFonts w:ascii="Arial" w:cs="Arial" w:eastAsia="Arial" w:hAnsi="Arial"/>
          <w:sz w:val="22"/>
          <w:szCs w:val="22"/>
        </w:rPr>
        <w:t xml:space="preserve"> lines rooms along a shared hallway with communal bathrooms per floor — consistently linked to social overload and withdrawal.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Cluster Plex</w:t>
      </w:r>
      <w:r>
        <w:rPr>
          <w:rFonts w:ascii="Arial" w:cs="Arial" w:eastAsia="Arial" w:hAnsi="Arial"/>
          <w:sz w:val="22"/>
          <w:szCs w:val="22"/>
        </w:rPr>
        <w:t xml:space="preserve">, still the dominant contemporary model, groups rooms around a small shared suite; it improves privacy but paradoxically scores worse on campus-wide community metrics.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Scattered Plex</w:t>
      </w:r>
      <w:r>
        <w:rPr>
          <w:rFonts w:ascii="Arial" w:cs="Arial" w:eastAsia="Arial" w:hAnsi="Arial"/>
          <w:sz w:val="22"/>
          <w:szCs w:val="22"/>
        </w:rPr>
        <w:t xml:space="preserve"> organizes autonomous units across shared communal grounds, with the spatial relationship between each unit and the landscape defining the compound's social character — the least studied archetype, and the most promising.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Ariel University's two compounds map directly onto this.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mid-rise compound</w:t>
      </w:r>
      <w:r>
        <w:rPr>
          <w:rFonts w:ascii="Arial" w:cs="Arial" w:eastAsia="Arial" w:hAnsi="Arial"/>
          <w:sz w:val="22"/>
          <w:szCs w:val="22"/>
        </w:rPr>
        <w:t xml:space="preserve"> follows a cluster-corridor hybrid: densely packed towers with consolidated indoor amenities, housing ~1,550 students across 0.033 km².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caravan compound</w:t>
      </w:r>
      <w:r>
        <w:rPr>
          <w:rFonts w:ascii="Arial" w:cs="Arial" w:eastAsia="Arial" w:hAnsi="Arial"/>
          <w:sz w:val="22"/>
          <w:szCs w:val="22"/>
        </w:rPr>
        <w:t xml:space="preserve"> is a scattered plex: ~350 low-rise units distributed across 0.106 km² of organic, pedestrian-first grounds, organized into semi-private sub-clusters surrounded by greenery and shared outdoor space.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Visual suggestion: site plans — caravan compound + mid-rise compound + unit-level floor plans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Caravan compound site plan — ~350 scattered units, 0.106 km², organic pedestrian-first layout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Mid-rise compound site plan — Buildings 101–116, 0.033 km², 1,550 students at 46,969/km²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Unit floor plans — caravan (men's / women's variants) vs Building 101 / Building 103 ]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Methodology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Visual suggestion: methodology flowchart (two parallel tracks — qualitative scoring + quantitative surveys)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Methodology diagram — qualitative track (7 spatial parameters) and quantitative track (SCI-2 + URES) converging on cross-validation ]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analysis ran on two parallel tracks designed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cross-validate each other</w:t>
      </w:r>
      <w:r>
        <w:rPr>
          <w:rFonts w:ascii="Arial" w:cs="Arial" w:eastAsia="Arial" w:hAnsi="Arial"/>
          <w:sz w:val="22"/>
          <w:szCs w:val="22"/>
        </w:rPr>
        <w:t xml:space="preserve">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qualitative track</w:t>
      </w:r>
      <w:r>
        <w:rPr>
          <w:rFonts w:ascii="Arial" w:cs="Arial" w:eastAsia="Arial" w:hAnsi="Arial"/>
          <w:sz w:val="22"/>
          <w:szCs w:val="22"/>
        </w:rPr>
        <w:t xml:space="preserve"> scored each compound against seven spatial parameters —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control, views,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scale</w:t>
      </w:r>
      <w:r>
        <w:rPr>
          <w:rFonts w:ascii="Arial" w:cs="Arial" w:eastAsia="Arial" w:hAnsi="Arial"/>
          <w:sz w:val="22"/>
          <w:szCs w:val="22"/>
        </w:rPr>
        <w:t xml:space="preserve"> (Place Attachment)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strollability, buffers, opportunities,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perception</w:t>
      </w:r>
      <w:r>
        <w:rPr>
          <w:rFonts w:ascii="Arial" w:cs="Arial" w:eastAsia="Arial" w:hAnsi="Arial"/>
          <w:sz w:val="22"/>
          <w:szCs w:val="22"/>
        </w:rPr>
        <w:t xml:space="preserve"> (Informal Contact) — on a 1–5 scale through direct architectural observation benchmarked against the academic literature. The goal was a predicted Sense of Community score based purely on spatial merit.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quantitative track</w:t>
      </w:r>
      <w:r>
        <w:rPr>
          <w:rFonts w:ascii="Arial" w:cs="Arial" w:eastAsia="Arial" w:hAnsi="Arial"/>
          <w:sz w:val="22"/>
          <w:szCs w:val="22"/>
        </w:rPr>
        <w:t xml:space="preserve"> measured what residents actually experienced, using two validated instruments translated to Hebrew: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University Residence Environment Scale (URES)</w:t>
      </w:r>
      <w:r>
        <w:rPr>
          <w:rFonts w:ascii="Arial" w:cs="Arial" w:eastAsia="Arial" w:hAnsi="Arial"/>
          <w:sz w:val="22"/>
          <w:szCs w:val="22"/>
        </w:rPr>
        <w:t xml:space="preserve">, assessing social climate across ten subscales, and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Sense of Community Index 2 (SCI-2)</w:t>
      </w:r>
      <w:r>
        <w:rPr>
          <w:rFonts w:ascii="Arial" w:cs="Arial" w:eastAsia="Arial" w:hAnsi="Arial"/>
          <w:sz w:val="22"/>
          <w:szCs w:val="22"/>
        </w:rPr>
        <w:t xml:space="preserve">, measuring Sense of Community across four dimensions. Comparing predicted against measured outcomes both validated the spatial framework and surfaced where the two diverged — and why.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App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Visual suggestion: app flowchart (data pipeline: device → geofence → anonymisation → decoupled DBs) + app screenshots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App flowchart — data pipeline from device GPS collection → geofencing → client-side hash → decoupled databases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App screenshots — onboarding / questionnaire / location consent screens ]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To orchestrate data collection during the pandemic, I co-developed a custom native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Android application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NKDT Points</w:t>
      </w:r>
      <w:r>
        <w:rPr>
          <w:rFonts w:ascii="Arial" w:cs="Arial" w:eastAsia="Arial" w:hAnsi="Arial"/>
          <w:sz w:val="22"/>
          <w:szCs w:val="22"/>
        </w:rPr>
        <w:t xml:space="preserve"> — functioning as a live research platform. The app simultaneously administered the psychometric questionnaires remotely and captured continuous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passive background GPS telemetry</w:t>
      </w:r>
      <w:r>
        <w:rPr>
          <w:rFonts w:ascii="Arial" w:cs="Arial" w:eastAsia="Arial" w:hAnsi="Arial"/>
          <w:sz w:val="22"/>
          <w:szCs w:val="22"/>
        </w:rPr>
        <w:t xml:space="preserve">, mapping how residents actually moved through and between the compounds over time.</w:t>
      </w:r>
    </w:p>
    <w:p>
      <w:pPr>
        <w:spacing w:after="180" w:before="0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Privacy-by-Design</w:t>
      </w:r>
      <w:r>
        <w:rPr>
          <w:rFonts w:ascii="Arial" w:cs="Arial" w:eastAsia="Arial" w:hAnsi="Arial"/>
          <w:sz w:val="22"/>
          <w:szCs w:val="22"/>
        </w:rPr>
        <w:t xml:space="preserve"> governed the entire pipeline. Survey responses and spatial telemetry were isolated across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decoupled databases</w:t>
      </w:r>
      <w:r>
        <w:rPr>
          <w:rFonts w:ascii="Arial" w:cs="Arial" w:eastAsia="Arial" w:hAnsi="Arial"/>
          <w:sz w:val="22"/>
          <w:szCs w:val="22"/>
        </w:rPr>
        <w:t xml:space="preserve"> from the outset. User identities were obfuscated at device edge via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client-side cryptographic hash</w:t>
      </w:r>
      <w:r>
        <w:rPr>
          <w:rFonts w:ascii="Arial" w:cs="Arial" w:eastAsia="Arial" w:hAnsi="Arial"/>
          <w:sz w:val="22"/>
          <w:szCs w:val="22"/>
        </w:rPr>
        <w:t xml:space="preserve"> crossing hardware IDs with registration timestamps — the only identifier ever transmitted. GPS data was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geofenced to city limits</w:t>
      </w:r>
      <w:r>
        <w:rPr>
          <w:rFonts w:ascii="Arial" w:cs="Arial" w:eastAsia="Arial" w:hAnsi="Arial"/>
          <w:sz w:val="22"/>
          <w:szCs w:val="22"/>
        </w:rPr>
        <w:t xml:space="preserve">; when a participant was detected within their own residential cluster, the app substituted their precise coordinate with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cluster-centroid anchor</w:t>
      </w:r>
      <w:r>
        <w:rPr>
          <w:rFonts w:ascii="Arial" w:cs="Arial" w:eastAsia="Arial" w:hAnsi="Arial"/>
          <w:sz w:val="22"/>
          <w:szCs w:val="22"/>
        </w:rPr>
        <w:t xml:space="preserve">, preventing hyper-local tracking while preserving compound-level movement data.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Source code:  </w:t>
      </w:r>
      <w:hyperlink w:history="1" r:id="rIdk6umc97calfwnndc1zo1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App ↗</w:t>
        </w:r>
      </w:hyperlink>
      <w:r>
        <w:rPr>
          <w:rFonts w:ascii="Arial" w:cs="Arial" w:eastAsia="Arial" w:hAnsi="Arial"/>
          <w:sz w:val="22"/>
          <w:szCs w:val="22"/>
        </w:rPr>
        <w:t xml:space="preserve">  ·  </w:t>
      </w:r>
      <w:hyperlink w:history="1" r:id="rIdzgvqxqp7zt84y-l7qzq7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API ↗</w:t>
        </w:r>
      </w:hyperlink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Results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Visual suggestion: study metrics row (38 downloads / 25 participants / 22 SCI-2 / 3,955 GPS points) + SCI-2 grouped bar chart + URES horizontal bar chart + qualitative parameter score bars for each compound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Key metrics — 38 app downloads, 25 valid participants, 22 SCI-2 responses, 3,955 GPS datapoints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SCI-2 grouped bar chart — Caravan vs Mid-rise, normalized scores across 4 subscales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URES horizontal bar chart — Caravan vs Mid-rise, standardized scores across 10 subscales (* significant differences)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Qualitative spatial scores — Caravan compound parameter bars (avg 3.9)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Qualitative spatial scores — Mid-rise compound parameter bars (avg 2.9) ]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qualitative analysis produced a clear verdict: the caravan compound scored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3.9 / 5</w:t>
      </w:r>
      <w:r>
        <w:rPr>
          <w:rFonts w:ascii="Arial" w:cs="Arial" w:eastAsia="Arial" w:hAnsi="Arial"/>
          <w:sz w:val="22"/>
          <w:szCs w:val="22"/>
        </w:rPr>
        <w:t xml:space="preserve"> (SD = 0.38,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 &lt; 0.01) against the mid-rise's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2.9 / 5</w:t>
      </w:r>
      <w:r>
        <w:rPr>
          <w:rFonts w:ascii="Arial" w:cs="Arial" w:eastAsia="Arial" w:hAnsi="Arial"/>
          <w:sz w:val="22"/>
          <w:szCs w:val="22"/>
        </w:rPr>
        <w:t xml:space="preserve"> (SD = 0.35,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 &lt; 0.05) — a full point of difference driven consistently across nearly all seven parameters. Three spatial families accounted for most of the gap: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Nature features</w:t>
      </w:r>
      <w:r>
        <w:rPr>
          <w:rFonts w:ascii="Arial" w:cs="Arial" w:eastAsia="Arial" w:hAnsi="Arial"/>
          <w:sz w:val="22"/>
          <w:szCs w:val="22"/>
        </w:rPr>
        <w:t xml:space="preserve"> (free-flowing layout, tree canopy, green sub-clusters that invite strolling and casual lingering),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Appeal features</w:t>
      </w:r>
      <w:r>
        <w:rPr>
          <w:rFonts w:ascii="Arial" w:cs="Arial" w:eastAsia="Arial" w:hAnsi="Arial"/>
          <w:sz w:val="22"/>
          <w:szCs w:val="22"/>
        </w:rPr>
        <w:t xml:space="preserve"> (distinctive unit character, resident personalization, village aesthetic versus institutional uniformity), and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Buffer features</w:t>
      </w:r>
      <w:r>
        <w:rPr>
          <w:rFonts w:ascii="Arial" w:cs="Arial" w:eastAsia="Arial" w:hAnsi="Arial"/>
          <w:sz w:val="22"/>
          <w:szCs w:val="22"/>
        </w:rPr>
        <w:t xml:space="preserve"> — the layered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private → semi-private → communal → campus</w:t>
      </w:r>
      <w:r>
        <w:rPr>
          <w:rFonts w:ascii="Arial" w:cs="Arial" w:eastAsia="Arial" w:hAnsi="Arial"/>
          <w:sz w:val="22"/>
          <w:szCs w:val="22"/>
        </w:rPr>
        <w:t xml:space="preserve"> hierarchy giving residents fine-grained control over social exposure. The mid-rise's inside/outside binary collapses that gradient entirely.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quantitative results confirmed the direction: caravan residents scored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0.566 normalized</w:t>
      </w:r>
      <w:r>
        <w:rPr>
          <w:rFonts w:ascii="Arial" w:cs="Arial" w:eastAsia="Arial" w:hAnsi="Arial"/>
          <w:sz w:val="22"/>
          <w:szCs w:val="22"/>
        </w:rPr>
        <w:t xml:space="preserve"> on the SCI-2 total index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 &lt; 0.05), mid-rise scored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0.407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 &lt; 0.05), with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Membership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Shared Emotional Connection</w:t>
      </w:r>
      <w:r>
        <w:rPr>
          <w:rFonts w:ascii="Arial" w:cs="Arial" w:eastAsia="Arial" w:hAnsi="Arial"/>
          <w:sz w:val="22"/>
          <w:szCs w:val="22"/>
        </w:rPr>
        <w:t xml:space="preserve"> driving the largest differences. GPS telemetry added a calibrating layer — residents spent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83.5%</w:t>
      </w:r>
      <w:r>
        <w:rPr>
          <w:rFonts w:ascii="Arial" w:cs="Arial" w:eastAsia="Arial" w:hAnsi="Arial"/>
          <w:sz w:val="22"/>
          <w:szCs w:val="22"/>
        </w:rPr>
        <w:t xml:space="preserve"> of recorded time within their own building or sub-cluster, reflecting COVID-19's compression of social opportunity and explaining why both compounds scored lower than the spatial model predicted. The mid-rise cohort was small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= 3–5), making comparative findings directional — a larger longitudinal follow-up remains the natural next step.</w:t>
      </w:r>
    </w:p>
    <w:p>
      <w:pPr>
        <w:pBdr>
          <w:bottom w:val="single" w:color="DDDDDD" w:sz="6" w:space="1"/>
        </w:pBdr>
        <w:spacing w:after="200" w:before="200"/>
      </w:pPr>
    </w:p>
    <w:p>
      <w:pPr>
        <w:pStyle w:val="Heading2"/>
        <w:spacing w:after="160" w:before="4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R&amp;D Framework &amp; Scaling Path</w:t>
      </w:r>
    </w:p>
    <w:p>
      <w:pPr>
        <w:spacing w:after="80" w:before="320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Visual suggestion: scaling diagram — feedback loop from spatial change → measurement → insight → next iteration (connects to NKDT project)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60" w:before="160"/>
      </w:pPr>
      <w:r>
        <w:rPr>
          <w:b/>
          <w:bCs/>
          <w:i/>
          <w:iCs/>
          <w:color w:val="888888"/>
          <w:sz w:val="20"/>
          <w:szCs w:val="20"/>
        </w:rPr>
        <w:t xml:space="preserve">[ IMAGE: Scaling diagram — instrumentation feedback loop: spatial design → data collection → analysis → incremental design update ]</w:t>
      </w:r>
    </w:p>
    <w:p>
      <w:pPr>
        <w:spacing w:after="1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study is designed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replicable methodology framework</w:t>
      </w:r>
      <w:r>
        <w:rPr>
          <w:rFonts w:ascii="Arial" w:cs="Arial" w:eastAsia="Arial" w:hAnsi="Arial"/>
          <w:sz w:val="22"/>
          <w:szCs w:val="22"/>
        </w:rPr>
        <w:t xml:space="preserve">, not a one-off observation. Because universities maintain near-total institutional control over students' physical environment, student housing represents the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ideal live testing sandbox</w:t>
      </w:r>
      <w:r>
        <w:rPr>
          <w:rFonts w:ascii="Arial" w:cs="Arial" w:eastAsia="Arial" w:hAnsi="Arial"/>
          <w:sz w:val="22"/>
          <w:szCs w:val="22"/>
        </w:rPr>
        <w:t xml:space="preserve"> for continuous spatial experimentation — where specific environmental variables can be modified, measured, and iterated on in ways real-world urban settings rarely permit. This research establishes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instrumentation baseline</w:t>
      </w:r>
      <w:r>
        <w:rPr>
          <w:rFonts w:ascii="Arial" w:cs="Arial" w:eastAsia="Arial" w:hAnsi="Arial"/>
          <w:sz w:val="22"/>
          <w:szCs w:val="22"/>
        </w:rPr>
        <w:t xml:space="preserve"> for exactly that feedback loop: spatial design decisions validated against measurable human outcomes rather than intuition alone. That framework is the direct starting point for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NKDT final project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4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mkn0h2l9x3eb4bpf9pvw" Type="http://schemas.openxmlformats.org/officeDocument/2006/relationships/hyperlink" Target="https://dx.doi.org/10.13140/RG.2.2.32000.00001" TargetMode="External"/><Relationship Id="rIdk6umc97calfwnndc1zo1m" Type="http://schemas.openxmlformats.org/officeDocument/2006/relationships/hyperlink" Target="https://github.com/DoronAn/nkdt-app" TargetMode="External"/><Relationship Id="rIdzgvqxqp7zt84y-l7qzq7v" Type="http://schemas.openxmlformats.org/officeDocument/2006/relationships/hyperlink" Target="https://github.com/DoronAn/nkdt-ap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2026-05-29T18:02:28.002Z</dcterms:created>
  <dcterms:modified xsi:type="dcterms:W3CDTF">2026-05-29T18:02:28.002Z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