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2"/>
          <w:szCs w:val="32"/>
        </w:rPr>
      </w:pPr>
      <w:r w:rsidDel="00000000" w:rsidR="00000000" w:rsidRPr="00000000">
        <w:rPr>
          <w:sz w:val="32"/>
          <w:szCs w:val="32"/>
          <w:rtl w:val="0"/>
        </w:rPr>
        <w:t xml:space="preserve">Detailed study of the neutron scattering from highly oriented pyrolytic graphite</w:t>
      </w:r>
    </w:p>
    <w:p w:rsidR="00000000" w:rsidDel="00000000" w:rsidP="00000000" w:rsidRDefault="00000000" w:rsidRPr="00000000" w14:paraId="00000002">
      <w:pPr>
        <w:rPr>
          <w:sz w:val="32"/>
          <w:szCs w:val="32"/>
        </w:rPr>
      </w:pPr>
      <w:r w:rsidDel="00000000" w:rsidR="00000000" w:rsidRPr="00000000">
        <w:rPr>
          <w:rtl w:val="0"/>
        </w:rPr>
      </w:r>
    </w:p>
    <w:p w:rsidR="00000000" w:rsidDel="00000000" w:rsidP="00000000" w:rsidRDefault="00000000" w:rsidRPr="00000000" w14:paraId="00000003">
      <w:pPr>
        <w:rPr>
          <w:vertAlign w:val="superscript"/>
        </w:rPr>
      </w:pPr>
      <w:r w:rsidDel="00000000" w:rsidR="00000000" w:rsidRPr="00000000">
        <w:rPr>
          <w:b w:val="1"/>
          <w:u w:val="single"/>
          <w:rtl w:val="0"/>
        </w:rPr>
        <w:t xml:space="preserve">K. M. L. Krighaar</w:t>
      </w:r>
      <w:r w:rsidDel="00000000" w:rsidR="00000000" w:rsidRPr="00000000">
        <w:rPr>
          <w:b w:val="1"/>
          <w:u w:val="single"/>
          <w:vertAlign w:val="superscript"/>
          <w:rtl w:val="0"/>
        </w:rPr>
        <w:t xml:space="preserve">1</w:t>
      </w:r>
      <w:r w:rsidDel="00000000" w:rsidR="00000000" w:rsidRPr="00000000">
        <w:rPr>
          <w:rtl w:val="0"/>
        </w:rPr>
        <w:t xml:space="preserve">, J. Larsen</w:t>
      </w:r>
      <w:r w:rsidDel="00000000" w:rsidR="00000000" w:rsidRPr="00000000">
        <w:rPr>
          <w:vertAlign w:val="superscript"/>
          <w:rtl w:val="0"/>
        </w:rPr>
        <w:t xml:space="preserve">2</w:t>
      </w:r>
      <w:r w:rsidDel="00000000" w:rsidR="00000000" w:rsidRPr="00000000">
        <w:rPr>
          <w:rtl w:val="0"/>
        </w:rPr>
        <w:t xml:space="preserve">, R. L. Hansen</w:t>
      </w:r>
      <w:r w:rsidDel="00000000" w:rsidR="00000000" w:rsidRPr="00000000">
        <w:rPr>
          <w:vertAlign w:val="superscript"/>
          <w:rtl w:val="0"/>
        </w:rPr>
        <w:t xml:space="preserve">1</w:t>
      </w:r>
      <w:r w:rsidDel="00000000" w:rsidR="00000000" w:rsidRPr="00000000">
        <w:rPr>
          <w:rtl w:val="0"/>
        </w:rPr>
        <w:t xml:space="preserve">, Xiaoyu Wang</w:t>
      </w:r>
      <w:r w:rsidDel="00000000" w:rsidR="00000000" w:rsidRPr="00000000">
        <w:rPr>
          <w:vertAlign w:val="superscript"/>
          <w:rtl w:val="0"/>
        </w:rPr>
        <w:t xml:space="preserve">1</w:t>
      </w:r>
      <w:r w:rsidDel="00000000" w:rsidR="00000000" w:rsidRPr="00000000">
        <w:rPr>
          <w:rtl w:val="0"/>
        </w:rPr>
        <w:t xml:space="preserve">, J. Lass</w:t>
      </w:r>
      <w:r w:rsidDel="00000000" w:rsidR="00000000" w:rsidRPr="00000000">
        <w:rPr>
          <w:vertAlign w:val="superscript"/>
          <w:rtl w:val="0"/>
        </w:rPr>
        <w:t xml:space="preserve">1,3</w:t>
      </w:r>
      <w:r w:rsidDel="00000000" w:rsidR="00000000" w:rsidRPr="00000000">
        <w:rPr>
          <w:rtl w:val="0"/>
        </w:rPr>
        <w:t xml:space="preserve">, J. Okkels Birk</w:t>
      </w:r>
      <w:r w:rsidDel="00000000" w:rsidR="00000000" w:rsidRPr="00000000">
        <w:rPr>
          <w:vertAlign w:val="superscript"/>
          <w:rtl w:val="0"/>
        </w:rPr>
        <w:t xml:space="preserve">1</w:t>
      </w:r>
      <w:r w:rsidDel="00000000" w:rsidR="00000000" w:rsidRPr="00000000">
        <w:rPr>
          <w:rtl w:val="0"/>
        </w:rPr>
        <w:t xml:space="preserve">, M. Marko</w:t>
      </w:r>
      <w:r w:rsidDel="00000000" w:rsidR="00000000" w:rsidRPr="00000000">
        <w:rPr>
          <w:vertAlign w:val="superscript"/>
          <w:rtl w:val="0"/>
        </w:rPr>
        <w:t xml:space="preserve">3</w:t>
      </w:r>
      <w:r w:rsidDel="00000000" w:rsidR="00000000" w:rsidRPr="00000000">
        <w:rPr>
          <w:rtl w:val="0"/>
        </w:rPr>
        <w:t xml:space="preserve">, M. Frontzek</w:t>
      </w:r>
      <w:r w:rsidDel="00000000" w:rsidR="00000000" w:rsidRPr="00000000">
        <w:rPr>
          <w:vertAlign w:val="superscript"/>
          <w:rtl w:val="0"/>
        </w:rPr>
        <w:t xml:space="preserve">3</w:t>
      </w:r>
      <w:r w:rsidDel="00000000" w:rsidR="00000000" w:rsidRPr="00000000">
        <w:rPr>
          <w:rtl w:val="0"/>
        </w:rPr>
        <w:t xml:space="preserve">,  Ch. Niedermayer</w:t>
      </w:r>
      <w:r w:rsidDel="00000000" w:rsidR="00000000" w:rsidRPr="00000000">
        <w:rPr>
          <w:vertAlign w:val="superscript"/>
          <w:rtl w:val="0"/>
        </w:rPr>
        <w:t xml:space="preserve">3</w:t>
      </w:r>
      <w:r w:rsidDel="00000000" w:rsidR="00000000" w:rsidRPr="00000000">
        <w:rPr>
          <w:rtl w:val="0"/>
        </w:rPr>
        <w:t xml:space="preserve">, R. Toft-Petersen</w:t>
      </w:r>
      <w:r w:rsidDel="00000000" w:rsidR="00000000" w:rsidRPr="00000000">
        <w:rPr>
          <w:vertAlign w:val="superscript"/>
          <w:rtl w:val="0"/>
        </w:rPr>
        <w:t xml:space="preserve">2,4</w:t>
      </w:r>
      <w:r w:rsidDel="00000000" w:rsidR="00000000" w:rsidRPr="00000000">
        <w:rPr>
          <w:rtl w:val="0"/>
        </w:rPr>
        <w:t xml:space="preserve">, N. B. Christensen</w:t>
      </w:r>
      <w:r w:rsidDel="00000000" w:rsidR="00000000" w:rsidRPr="00000000">
        <w:rPr>
          <w:vertAlign w:val="superscript"/>
          <w:rtl w:val="0"/>
        </w:rPr>
        <w:t xml:space="preserve">2</w:t>
      </w:r>
      <w:r w:rsidDel="00000000" w:rsidR="00000000" w:rsidRPr="00000000">
        <w:rPr>
          <w:rtl w:val="0"/>
        </w:rPr>
        <w:t xml:space="preserve"> and </w:t>
      </w:r>
      <w:r w:rsidDel="00000000" w:rsidR="00000000" w:rsidRPr="00000000">
        <w:rPr>
          <w:rtl w:val="0"/>
        </w:rPr>
        <w:t xml:space="preserve">K. Lefmann</w:t>
      </w:r>
      <w:r w:rsidDel="00000000" w:rsidR="00000000" w:rsidRPr="00000000">
        <w:rPr>
          <w:vertAlign w:val="superscript"/>
          <w:rtl w:val="0"/>
        </w:rPr>
        <w:t xml:space="preserve">1</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numPr>
          <w:ilvl w:val="0"/>
          <w:numId w:val="1"/>
        </w:numPr>
        <w:ind w:left="720" w:hanging="360"/>
        <w:rPr>
          <w:sz w:val="20"/>
          <w:szCs w:val="20"/>
          <w:u w:val="none"/>
        </w:rPr>
      </w:pPr>
      <w:r w:rsidDel="00000000" w:rsidR="00000000" w:rsidRPr="00000000">
        <w:rPr>
          <w:sz w:val="20"/>
          <w:szCs w:val="20"/>
          <w:rtl w:val="0"/>
        </w:rPr>
        <w:t xml:space="preserve">Nanoscience Center, Niels Bohr Institute, University of Copenhagen, DK-2100 Copenhagen,Denmark</w:t>
      </w:r>
    </w:p>
    <w:p w:rsidR="00000000" w:rsidDel="00000000" w:rsidP="00000000" w:rsidRDefault="00000000" w:rsidRPr="00000000" w14:paraId="00000006">
      <w:pPr>
        <w:numPr>
          <w:ilvl w:val="0"/>
          <w:numId w:val="1"/>
        </w:numPr>
        <w:ind w:left="720" w:hanging="360"/>
        <w:rPr>
          <w:sz w:val="20"/>
          <w:szCs w:val="20"/>
          <w:u w:val="none"/>
        </w:rPr>
      </w:pPr>
      <w:r w:rsidDel="00000000" w:rsidR="00000000" w:rsidRPr="00000000">
        <w:rPr>
          <w:sz w:val="20"/>
          <w:szCs w:val="20"/>
          <w:rtl w:val="0"/>
        </w:rPr>
        <w:t xml:space="preserve">Department of Physics, Technical University of Denmark, DK-2800 Lyngby, Denmark</w:t>
      </w:r>
    </w:p>
    <w:p w:rsidR="00000000" w:rsidDel="00000000" w:rsidP="00000000" w:rsidRDefault="00000000" w:rsidRPr="00000000" w14:paraId="00000007">
      <w:pPr>
        <w:numPr>
          <w:ilvl w:val="0"/>
          <w:numId w:val="1"/>
        </w:numPr>
        <w:ind w:left="720" w:hanging="360"/>
        <w:rPr>
          <w:sz w:val="20"/>
          <w:szCs w:val="20"/>
          <w:u w:val="none"/>
        </w:rPr>
      </w:pPr>
      <w:r w:rsidDel="00000000" w:rsidR="00000000" w:rsidRPr="00000000">
        <w:rPr>
          <w:sz w:val="20"/>
          <w:szCs w:val="20"/>
          <w:rtl w:val="0"/>
        </w:rPr>
        <w:t xml:space="preserve">Laboratory of Neutron Scattering, Paul Scherrer Institute, 5232 Villigen PSI, Switzerland</w:t>
      </w:r>
    </w:p>
    <w:p w:rsidR="00000000" w:rsidDel="00000000" w:rsidP="00000000" w:rsidRDefault="00000000" w:rsidRPr="00000000" w14:paraId="00000008">
      <w:pPr>
        <w:numPr>
          <w:ilvl w:val="0"/>
          <w:numId w:val="1"/>
        </w:numPr>
        <w:ind w:left="720" w:hanging="360"/>
        <w:rPr>
          <w:sz w:val="20"/>
          <w:szCs w:val="20"/>
          <w:u w:val="none"/>
        </w:rPr>
      </w:pPr>
      <w:r w:rsidDel="00000000" w:rsidR="00000000" w:rsidRPr="00000000">
        <w:rPr>
          <w:sz w:val="20"/>
          <w:szCs w:val="20"/>
          <w:rtl w:val="0"/>
        </w:rPr>
        <w:t xml:space="preserve">European Spallation Source ERIC, 22363 Lund, Sweden</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Pyrolytic graphite (PG) has a high Bragg reflectivity for neutrons and is therefore much used in instrumentation for monochromators and analyzers in all types of backscattering and triple axis spectrometers.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PG can also be the source of background signals since it has low velocity phonon branches. If interpreted as Bragg scattering, these phonon branches will appear as broad spurious background signals. This has led to some backscattering instruments installing cooling to obtain better signal background ratio, but the need for cooling for  triple axis types is disputed. Therefore it is important to quantify and understand scattering features from PG.</w:t>
      </w:r>
      <w:r w:rsidDel="00000000" w:rsidR="00000000" w:rsidRPr="00000000">
        <w:rPr>
          <w:rtl w:val="0"/>
        </w:rPr>
      </w:r>
    </w:p>
    <w:p w:rsidR="00000000" w:rsidDel="00000000" w:rsidP="00000000" w:rsidRDefault="00000000" w:rsidRPr="00000000" w14:paraId="0000000E">
      <w:pPr>
        <w:rPr>
          <w:i w:val="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We here present an investigation of the total scattering features of PG at different temperatures. We used a diffractometer to obtain a two dimensional scattering map of a typical PG analyser crystal. The data spans over 5 orders of magnitude and consists of Bragg diffraction, powder rings, phonon scattering and surprisingly aoverlso a signal that appears as specular reflectivity at high q.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From our investigations we present a model of all features in the data using McStas UNION, and a new general Born-von Karman phonon description for McStas, and present a full instrument simulation model that can predict background features stemming from spurious scattering from PG analyzers. From our model we can effectively map scattering features as a function of both temperature and nominal analyzer energy, enabling study of PG effects on both backscattering and triple axis type instruments.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Our results show that while backscattering instruments do need  cooling, triple axis instruments do not, due to a different orientation of the phonon scattering cloud. We argue that our McStas model will be useful to investigate scattering geometries of a wide range of instruments and determine possibilities of spurious signals and phonon contamination e.g. at novel multi analyzer instruments such as CAMEA, BIFROST and MUSHROOM.</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pPr>
      <w:r w:rsidDel="00000000" w:rsidR="00000000" w:rsidRPr="00000000">
        <w:rPr>
          <w:u w:val="single"/>
          <w:rtl w:val="0"/>
        </w:rPr>
        <w:t xml:space="preserve">Keywords:</w:t>
      </w:r>
      <w:r w:rsidDel="00000000" w:rsidR="00000000" w:rsidRPr="00000000">
        <w:rPr>
          <w:rtl w:val="0"/>
        </w:rPr>
        <w:t xml:space="preserve"> Instrumentation, PG analyzer, McStas</w:t>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