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ljykkrq7spz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4a6puwcs5twe" w:id="1"/>
      <w:bookmarkEnd w:id="1"/>
      <w:r w:rsidDel="00000000" w:rsidR="00000000" w:rsidRPr="00000000">
        <w:rPr>
          <w:rtl w:val="0"/>
        </w:rPr>
        <w:t xml:space="preserve">Сделка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сделки.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Поля: потребность, предложение.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сделки выбор потребности/предложения должен осуществляться при помощи выпадающего списка.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После создания сделки связанные с ней потребность и предложение считаются удовлетворенными и не могут более участвовать в других сделках.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7uhdx5uqb60y" w:id="2"/>
      <w:bookmarkEnd w:id="2"/>
      <w:r w:rsidDel="00000000" w:rsidR="00000000" w:rsidRPr="00000000">
        <w:rPr>
          <w:rtl w:val="0"/>
        </w:rPr>
        <w:t xml:space="preserve">Отчисления и комиссии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Рассчитайте размер отчислений компании, риэлтору клиента-покупателя и риэлтору клиента-продавца.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Стоимость услуг компании для клиента-продавца зависит от типа объекта недвижимости: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квартиры комиссия составляет 36 000 + 1% от стоимости квартиры.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земельного участка комиссия составляет 30 000 + 2% от стоимости земельного участка.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дома комиссия составляет 30 000 + 1% от стоимости дома.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Стоимость услуг компании для клиента-покупателя составляет 3% от стоимости покупаемого объекта недвижимости.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Уплаченные клиентами суммы за услуги компании распределяется между их риэлторами и компанией в соответствии со значением доли от комиссии риэлтора. В случае, когда у риэлтора доля от комиссии не указана, используется значение по-умолчанию, равное 45%.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при выборе сделки рассчитайте и отобразите: стоимость услуг для клиента-продавца, стоимость услуг для клиента-покупателя, размер отчислений риэлтору клиента-продавца, размер отчислений риэлтору клиента-покупателя, размер отчислений компании.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7cqj5iv3qxcc" w:id="3"/>
      <w:bookmarkEnd w:id="3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предложений, удовлетворяющих выбранную потребность, с возможностью быстрого создания сделки с участием одного из найденных вариантов.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потребностей, удовлетворяемых выбранным предложением, с возможностью быстрого создания сделки с участием одного из найденных вариантов.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5505450</wp:posOffset>
          </wp:positionH>
          <wp:positionV relativeFrom="paragraph">
            <wp:posOffset>66675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</dc:title>
</cp:coreProperties>
</file>