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обслуживанияс</w:t>
      </w:r>
      <w:r>
        <w:t xml:space="preserve"> </w:t>
      </w:r>
      <w:r>
        <w:t xml:space="preserve">приоритетами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p>
      <w:pPr>
        <w:pStyle w:val="Date"/>
      </w:pPr>
    </w:p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обслуживания с приоритетами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фабрике на складе работает один кладовщик, который выдает запасные части</w:t>
      </w:r>
      <w:r>
        <w:t xml:space="preserve"> </w:t>
      </w:r>
      <w:r>
        <w:t xml:space="preserve">механикам, обслуживающим станки. Время, необходимое для удовлетворения запроса, зависит от типа запасной части. Запросы бывают двух категорий. Для первой</w:t>
      </w:r>
      <w:r>
        <w:t xml:space="preserve"> </w:t>
      </w:r>
      <w:r>
        <w:t xml:space="preserve">категории интервалы времени прихода механиков 420 ± 360 сек., время обслуживания — 300 ± 90 сек. Для второй категории интервалы времени прихода механиков</w:t>
      </w:r>
      <w:r>
        <w:t xml:space="preserve"> </w:t>
      </w:r>
      <w:r>
        <w:t xml:space="preserve">360 ± 240 сек., время обслуживания — 100 ± 30 сек.</w:t>
      </w:r>
      <w:r>
        <w:t xml:space="preserve"> </w:t>
      </w:r>
      <w:r>
        <w:t xml:space="preserve">Порядок обслуживания механиков кладовщиком такой: запросы первой категории</w:t>
      </w:r>
      <w:r>
        <w:t xml:space="preserve"> </w:t>
      </w:r>
      <w:r>
        <w:t xml:space="preserve">обслуживаются только в том случае, когда в очереди нет ни одного запроса второй</w:t>
      </w:r>
      <w:r>
        <w:t xml:space="preserve"> </w:t>
      </w:r>
      <w:r>
        <w:t xml:space="preserve">категории. Внутри одной категории дисциплина обслуживания — «первым пришел –</w:t>
      </w:r>
      <w:r>
        <w:t xml:space="preserve"> </w:t>
      </w:r>
      <w:r>
        <w:t xml:space="preserve">первым обслужился». Необходимо создать модель работы кладовой, моделирование</w:t>
      </w:r>
      <w:r>
        <w:t xml:space="preserve"> </w:t>
      </w:r>
      <w:r>
        <w:t xml:space="preserve">выполнять в течение восьмичасового рабочего дня.</w:t>
      </w:r>
    </w:p>
    <w:bookmarkEnd w:id="21"/>
    <w:bookmarkStart w:id="28" w:name="построение-модел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Построение модели</w:t>
      </w:r>
    </w:p>
    <w:p>
      <w:pPr>
        <w:pStyle w:val="CaptionedFigure"/>
      </w:pPr>
      <w:r>
        <w:drawing>
          <wp:inline>
            <wp:extent cx="4533900" cy="4751685"/>
            <wp:effectExtent b="0" l="0" r="0" t="0"/>
            <wp:docPr descr="Код в GPS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5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Код в GPSS</w:t>
      </w:r>
    </w:p>
    <w:p>
      <w:pPr>
        <w:pStyle w:val="CaptionedFigure"/>
      </w:pPr>
      <w:r>
        <w:drawing>
          <wp:inline>
            <wp:extent cx="3517900" cy="6527800"/>
            <wp:effectExtent b="0" l="0" r="0" t="0"/>
            <wp:docPr descr="Отчет выпол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Отчет выполнения</w:t>
      </w:r>
    </w:p>
    <w:bookmarkEnd w:id="28"/>
    <w:bookmarkStart w:id="29" w:name="анализ-отче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Анализ отчета</w:t>
      </w:r>
    </w:p>
    <w:p>
      <w:pPr>
        <w:pStyle w:val="FirstParagraph"/>
      </w:pPr>
      <w:r>
        <w:t xml:space="preserve">QS1 (для Type 1):</w:t>
      </w:r>
    </w:p>
    <w:p>
      <w:pPr>
        <w:pStyle w:val="BodyText"/>
      </w:pPr>
      <w:r>
        <w:t xml:space="preserve">Максимальная длина очереди: 8 транзактов.</w:t>
      </w:r>
    </w:p>
    <w:p>
      <w:pPr>
        <w:pStyle w:val="BodyText"/>
      </w:pPr>
      <w:r>
        <w:t xml:space="preserve">Средняя длина: 2.177.</w:t>
      </w:r>
    </w:p>
    <w:p>
      <w:pPr>
        <w:pStyle w:val="BodyText"/>
      </w:pPr>
      <w:r>
        <w:t xml:space="preserve">Среднее время ожидания: 883.029 (очень долго!).</w:t>
      </w:r>
    </w:p>
    <w:p>
      <w:pPr>
        <w:pStyle w:val="BodyText"/>
      </w:pPr>
      <w:r>
        <w:t xml:space="preserve">QS2 (для Type 2):</w:t>
      </w:r>
    </w:p>
    <w:p>
      <w:pPr>
        <w:pStyle w:val="BodyText"/>
      </w:pPr>
      <w:r>
        <w:t xml:space="preserve">Максимальная длина: 3 транзакта.</w:t>
      </w:r>
    </w:p>
    <w:p>
      <w:pPr>
        <w:pStyle w:val="BodyText"/>
      </w:pPr>
      <w:r>
        <w:t xml:space="preserve">Среднее время ожидания: 152.399 (значительно меньше, чем у QS1).</w:t>
      </w:r>
    </w:p>
    <w:p>
      <w:pPr>
        <w:pStyle w:val="BodyText"/>
      </w:pPr>
      <w:r>
        <w:t xml:space="preserve">Вывод:</w:t>
      </w:r>
    </w:p>
    <w:p>
      <w:pPr>
        <w:pStyle w:val="BodyText"/>
      </w:pPr>
      <w:r>
        <w:t xml:space="preserve">Транзакты Type 1 (с большим временем обслуживания ADVANCE 300,90) создают длинные очереди.</w:t>
      </w:r>
    </w:p>
    <w:p>
      <w:pPr>
        <w:pStyle w:val="BodyText"/>
      </w:pPr>
      <w:r>
        <w:t xml:space="preserve">Ресурс STOCKMAN —</w:t>
      </w:r>
      <w:r>
        <w:t xml:space="preserve"> </w:t>
      </w:r>
      <w:r>
        <w:t xml:space="preserve">“</w:t>
      </w:r>
      <w:r>
        <w:t xml:space="preserve">узкое место</w:t>
      </w:r>
      <w:r>
        <w:t xml:space="preserve">”</w:t>
      </w:r>
      <w:r>
        <w:t xml:space="preserve">: он почти постоянно занят (UTIL. 0.967).</w:t>
      </w:r>
    </w:p>
    <w:bookmarkEnd w:id="29"/>
    <w:bookmarkStart w:id="30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Морские суда двух типов прибывают в порт, где происходит их разгрузка. В порту</w:t>
      </w:r>
      <w:r>
        <w:t xml:space="preserve"> </w:t>
      </w:r>
      <w:r>
        <w:t xml:space="preserve">есть два буксира, обеспечивающих ввод и вывод кораблей из порта. К первому</w:t>
      </w:r>
      <w:r>
        <w:t xml:space="preserve"> </w:t>
      </w:r>
      <w:r>
        <w:t xml:space="preserve">типу судов относятся корабли малого тоннажа, которые требуют использования</w:t>
      </w:r>
      <w:r>
        <w:t xml:space="preserve"> </w:t>
      </w:r>
      <w:r>
        <w:t xml:space="preserve">одного буксира. Корабли второго типа имеют большие размеры, и для их ввода</w:t>
      </w:r>
      <w:r>
        <w:t xml:space="preserve"> </w:t>
      </w:r>
      <w:r>
        <w:t xml:space="preserve">и вывода из порта требуется два буксира. Из-за различия размеров двух типов</w:t>
      </w:r>
      <w:r>
        <w:t xml:space="preserve"> </w:t>
      </w:r>
      <w:r>
        <w:t xml:space="preserve">кораблей необходимы и причалы различного размера. Кроме того, корабли имеют</w:t>
      </w:r>
      <w:r>
        <w:t xml:space="preserve"> </w:t>
      </w:r>
      <w:r>
        <w:t xml:space="preserve">различное время погрузки/разгрузки.</w:t>
      </w:r>
      <w:r>
        <w:t xml:space="preserve"> </w:t>
      </w:r>
      <w:r>
        <w:t xml:space="preserve">Требуется построить модель системы, в которой можно оценить время ожидания</w:t>
      </w:r>
      <w:r>
        <w:t xml:space="preserve"> </w:t>
      </w:r>
      <w:r>
        <w:t xml:space="preserve">кораблями каждого типа входа в порт. Время ожидания входа в порт включает время</w:t>
      </w:r>
      <w:r>
        <w:t xml:space="preserve"> </w:t>
      </w:r>
      <w:r>
        <w:t xml:space="preserve">ожидания освобождения причала и буксира. Корабль, ожидающий освобождения</w:t>
      </w:r>
      <w:r>
        <w:t xml:space="preserve"> </w:t>
      </w:r>
      <w:r>
        <w:t xml:space="preserve">причала, не обслуживается буксиром до тех пор, пока не будет предоставлен нужный</w:t>
      </w:r>
      <w:r>
        <w:t xml:space="preserve"> </w:t>
      </w:r>
      <w:r>
        <w:t xml:space="preserve">причал. Корабль второго типа не займёт буксир до тех пор, пока ему не будут</w:t>
      </w:r>
      <w:r>
        <w:t xml:space="preserve"> </w:t>
      </w:r>
      <w:r>
        <w:t xml:space="preserve">доступны оба буксира.</w:t>
      </w:r>
    </w:p>
    <w:bookmarkEnd w:id="30"/>
    <w:bookmarkStart w:id="37" w:name="построение-модели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Построение модели</w:t>
      </w:r>
    </w:p>
    <w:p>
      <w:pPr>
        <w:pStyle w:val="CaptionedFigure"/>
      </w:pPr>
      <w:r>
        <w:drawing>
          <wp:inline>
            <wp:extent cx="4533900" cy="6306143"/>
            <wp:effectExtent b="0" l="0" r="0" t="0"/>
            <wp:docPr descr="Код в GPS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0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Код в GPSS</w:t>
      </w:r>
    </w:p>
    <w:p>
      <w:pPr>
        <w:pStyle w:val="CaptionedFigure"/>
      </w:pPr>
      <w:r>
        <w:drawing>
          <wp:inline>
            <wp:extent cx="4533900" cy="4797232"/>
            <wp:effectExtent b="0" l="0" r="0" t="0"/>
            <wp:docPr descr="Отчет выполне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9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Отчет выполнения</w:t>
      </w:r>
    </w:p>
    <w:bookmarkEnd w:id="37"/>
    <w:bookmarkStart w:id="38" w:name="анализ-отчета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отчета</w:t>
      </w:r>
    </w:p>
    <w:p>
      <w:pPr>
        <w:pStyle w:val="FirstParagraph"/>
      </w:pPr>
      <w:r>
        <w:t xml:space="preserve">Для Type 1:</w:t>
      </w:r>
      <w:r>
        <w:t xml:space="preserve"> </w:t>
      </w:r>
      <w:r>
        <w:t xml:space="preserve">Максимальная длина очереди: 4 корабля.</w:t>
      </w:r>
    </w:p>
    <w:p>
      <w:pPr>
        <w:pStyle w:val="BodyText"/>
      </w:pPr>
      <w:r>
        <w:t xml:space="preserve">Среднее время ожидания: 97.7 мин.</w:t>
      </w:r>
    </w:p>
    <w:p>
      <w:pPr>
        <w:pStyle w:val="BodyText"/>
      </w:pPr>
      <w:r>
        <w:t xml:space="preserve">Всего обработано: 1345 кораблей.</w:t>
      </w:r>
    </w:p>
    <w:p>
      <w:pPr>
        <w:pStyle w:val="BodyText"/>
      </w:pPr>
      <w:r>
        <w:t xml:space="preserve">Для Type 2:</w:t>
      </w:r>
      <w:r>
        <w:t xml:space="preserve"> </w:t>
      </w:r>
      <w:r>
        <w:t xml:space="preserve">Максимальная длина очереди: 4 корабля.</w:t>
      </w:r>
    </w:p>
    <w:p>
      <w:pPr>
        <w:pStyle w:val="BodyText"/>
      </w:pPr>
      <w:r>
        <w:t xml:space="preserve">Среднее время ожидания: 352.5 мин (почти 6 часов!).</w:t>
      </w:r>
    </w:p>
    <w:p>
      <w:pPr>
        <w:pStyle w:val="BodyText"/>
      </w:pPr>
      <w:r>
        <w:t xml:space="preserve">Всего обработано: 446 кораблей.</w:t>
      </w:r>
    </w:p>
    <w:p>
      <w:pPr>
        <w:pStyle w:val="BodyText"/>
      </w:pPr>
      <w:r>
        <w:t xml:space="preserve">Проблема:</w:t>
      </w:r>
      <w:r>
        <w:t xml:space="preserve"> </w:t>
      </w:r>
      <w:r>
        <w:t xml:space="preserve">Корабли Type 2 ждут в 3.5 раза дольше, чем Type 1.</w:t>
      </w:r>
    </w:p>
    <w:bookmarkEnd w:id="38"/>
    <w:bookmarkStart w:id="39" w:name="анализ-отчета-2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Анализ отчета</w:t>
      </w:r>
    </w:p>
    <w:p>
      <w:pPr>
        <w:pStyle w:val="FirstParagraph"/>
      </w:pPr>
      <w:r>
        <w:t xml:space="preserve">Причалы (PRCH1 и PRCH2):</w:t>
      </w:r>
      <w:r>
        <w:t xml:space="preserve"> </w:t>
      </w:r>
      <w:r>
        <w:t xml:space="preserve">Ресурс Вместимость Занято Использование</w:t>
      </w:r>
      <w:r>
        <w:t xml:space="preserve"> </w:t>
      </w:r>
      <w:r>
        <w:t xml:space="preserve">PRCH1 6 0 97.7%</w:t>
      </w:r>
      <w:r>
        <w:t xml:space="preserve"> </w:t>
      </w:r>
      <w:r>
        <w:t xml:space="preserve">PRCH2 3 0 98.3%</w:t>
      </w:r>
    </w:p>
    <w:p>
      <w:pPr>
        <w:pStyle w:val="BodyText"/>
      </w:pPr>
      <w:r>
        <w:t xml:space="preserve">Вывод:</w:t>
      </w:r>
      <w:r>
        <w:t xml:space="preserve"> </w:t>
      </w:r>
      <w:r>
        <w:t xml:space="preserve">Причалы работают практически на 100% — это</w:t>
      </w:r>
      <w:r>
        <w:t xml:space="preserve"> </w:t>
      </w:r>
      <w:r>
        <w:t xml:space="preserve">“</w:t>
      </w:r>
      <w:r>
        <w:t xml:space="preserve">узкое место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Буксиры (BUKS):</w:t>
      </w:r>
      <w:r>
        <w:t xml:space="preserve"> </w:t>
      </w:r>
      <w:r>
        <w:t xml:space="preserve">Использование: 39.3%.</w:t>
      </w:r>
    </w:p>
    <w:p>
      <w:pPr>
        <w:pStyle w:val="BodyText"/>
      </w:pPr>
      <w:r>
        <w:t xml:space="preserve">Среднее число занятых: 0.786 из 2.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Реализовал модели обслуживания с приоритетами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Ощепков Дмитрий Владимирович НФИбд-01-22</dc:creator>
  <dc:language>ru-RU</dc:language>
  <cp:keywords/>
  <dcterms:created xsi:type="dcterms:W3CDTF">2025-05-17T17:23:18Z</dcterms:created>
  <dcterms:modified xsi:type="dcterms:W3CDTF">2025-05-17T17:23:18Z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/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Arial</vt:lpwstr>
  </property>
  <property fmtid="{D5CDD505-2E9C-101B-9397-08002B2CF9AE}" pid="50" name="monofont">
    <vt:lpwstr>Arial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Arial</vt:lpwstr>
  </property>
  <property fmtid="{D5CDD505-2E9C-101B-9397-08002B2CF9AE}" pid="59" name="sansfont">
    <vt:lpwstr>Arial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Модели обслуживанияс приоритетами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-title">
    <vt:lpwstr>Содержание</vt:lpwstr>
  </property>
</Properties>
</file>