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16:20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</w:t>
            </w:r>
            <w:r w:rsidDel="00000000" w:rsidR="00000000" w:rsidRPr="00000000">
              <w:rPr>
                <w:b w:val="1"/>
                <w:rtl w:val="0"/>
              </w:rPr>
              <w:t xml:space="preserve">“Registrar venta por mesa”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Estandares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Bohorquez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Sebastian Orozco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</w:t>
      </w:r>
      <w:r w:rsidDel="00000000" w:rsidR="00000000" w:rsidRPr="00000000">
        <w:rPr>
          <w:vertAlign w:val="baseline"/>
          <w:rtl w:val="0"/>
        </w:rPr>
        <w:t xml:space="preserve">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a1UQhQ/d5U2FDvP5aoWpyS2aZQ==">AMUW2mVhco4Q7ZtTSvKUAkO2g7vxtRAdaQ+mbQGyRElkVDWVvBSlQE6TKMbgZcviNtc/eDFUOT8KhjfutOQDaRvNQSLSxyW5j8dE8e/VhATVriQf2CCLPlM=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