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16:40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“Repartir Propina”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i w:val="0"/>
                <w:color w:val="1f497d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Estandares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Ambiguo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Camilo Vargas Quintero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Daniel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65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</w:t>
      </w:r>
      <w:r w:rsidDel="00000000" w:rsidR="00000000" w:rsidRPr="00000000">
        <w:rPr>
          <w:vertAlign w:val="baseline"/>
          <w:rtl w:val="0"/>
        </w:rPr>
        <w:t xml:space="preserve">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eoCi02NdiRuIv/x3kD9/t3ZAg==">AMUW2mXItT1V2xaycP9ffsl15Auyg1H+lJy+pS20/XdqGig/xYt/xidhp8BOX38vu9hzK9B0gwhRWLsiHE9O47QZMWPCdLg1485cuPkNyx0yuvpW/hKF/4E=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