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25-04-2021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0"/>
                <w:szCs w:val="20"/>
                <w:rtl w:val="0"/>
              </w:rPr>
              <w:t xml:space="preserve">Daniel Cuartas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primera revision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 es claro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 dice  a que paso del caso base regresa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T9VpiLjGYoo2mzU/Wb4+IbMcAw==">AMUW2mVXAfvn756e1c9W4P4PFiMwo1mwJO4YSJDep4hfjAqPE3Y69niz+WcBmQ7uG0KLaRSQdQNh1MpJ/xgFX5GLJtBNmsoWCRkf5iJSD2Os4pbbdn3w1aY=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