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4:42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5:02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caso de uso - Repartir propina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caso de uso específico detalladamente la salida que produce, sin embargo esta no se específica o al menos no de forma tan clara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flujo de excepciones tenga en cuenta todos los posibles escenarios para una excepción o flujo alterno. Se logra observar que no se contempló excepción en caso de haber un problema con la cantidad de registros de meseros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Página 2 - Claros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cada flujo alterno indique no solo de que paso de que flujo viene sino hacia dónde se dirige y esto no está especificado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YufWZc8gVm2Ms/jGtTLMcfSSQ==">AMUW2mVVdoE+z2i+YJuvZe9IVlQwrwJ+Zl8Ur2W7ppJ79CIaKp+teSC0CPGX/tsWsyMRw0rq2qZ0EXtzQVyF1j93ySrmUkZcF3mDA0nvyyraPTP2CNZ+VfI=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