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27/04/2021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Camilo Vargas Quintero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Primera revisión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 indica claramente a donde continúan los casos de flujo alterno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diwn+/MQcpms97mBgwas3eCR1Q==">AMUW2mWjTk4oT2mpgirp4HqRPmJXa76Vmzi0Yqee3eknvJzrY/mcIeVbbLurUwXuhgh94V2J0Fm7MQ8ya8VdpZqK4WvoLs/5AeDwxvYBJbpROiMloYPRVHM=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