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100.0" w:type="pct"/>
        <w:tblLayout w:type="fixed"/>
        <w:tblLook w:val="0600"/>
      </w:tblPr>
      <w:tblGrid>
        <w:gridCol w:w="915"/>
        <w:gridCol w:w="2205"/>
        <w:gridCol w:w="1365"/>
        <w:gridCol w:w="1755"/>
        <w:gridCol w:w="1185"/>
        <w:gridCol w:w="1965"/>
        <w:tblGridChange w:id="0">
          <w:tblGrid>
            <w:gridCol w:w="915"/>
            <w:gridCol w:w="2205"/>
            <w:gridCol w:w="1365"/>
            <w:gridCol w:w="1755"/>
            <w:gridCol w:w="1185"/>
            <w:gridCol w:w="1965"/>
          </w:tblGrid>
        </w:tblGridChange>
      </w:tblGrid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26/04/2021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5:20 p.m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5:37 p.m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0.0" w:type="dxa"/>
        <w:jc w:val="left"/>
        <w:tblInd w:w="100.0" w:type="pct"/>
        <w:tblLayout w:type="fixed"/>
        <w:tblLook w:val="0600"/>
      </w:tblPr>
      <w:tblGrid>
        <w:gridCol w:w="2190"/>
        <w:gridCol w:w="7200"/>
        <w:tblGridChange w:id="0">
          <w:tblGrid>
            <w:gridCol w:w="219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Especificación caso de uso - Crear categorías y subcategorías de gastos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100.0" w:type="pct"/>
        <w:tblLayout w:type="fixed"/>
        <w:tblLook w:val="0600"/>
      </w:tblPr>
      <w:tblGrid>
        <w:gridCol w:w="1470"/>
        <w:gridCol w:w="7920"/>
        <w:tblGridChange w:id="0">
          <w:tblGrid>
            <w:gridCol w:w="147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Revisor(es):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1 -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le asignó identificador al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especificación del caso de uso en el flujo normal no se indica cuales son los campos de entrada del formulario necesarios para el caso de uso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aclara cuales validaciones debe hacer el sistema con los datos ingresados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Completos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excepción no se definió en que paso de otro flujo del caso de uso se produce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</w:t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Claros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hace claridad a las validaciones debido a que las mismas no se elaboraron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3 - Completos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flujo alterno no indica a qué paso de que otro flujo regresa al finalizar sus acciones y en la excepción no se indica que paso es el que la produce y de qué flujo ni a qué flujo regresa al finalizar su proceso.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chequeo - Página 2 - Otros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Hay errores gramaticales en la escritura de algunas palabras como “categoría”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3buxesW5y1xibRyYTQjMfqNKng==">AMUW2mWBGXrQJA0CJjCuNQ6PMeF45Q+hkgzMxGvGOYr9qY67jArGlKpKpGGNwcMIez7k3pc6ulZnIzxBgKfS4jCL9akV1edQQhTIIc0cz/saLiigqwMgD5g=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