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11:30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de uso Crear Categoría y subcategoría de gastos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Sebastián Orozco Medina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5"/>
        <w:gridCol w:w="5115"/>
        <w:gridCol w:w="1384"/>
        <w:gridCol w:w="1305"/>
        <w:tblGridChange w:id="0">
          <w:tblGrid>
            <w:gridCol w:w="1815"/>
            <w:gridCol w:w="5115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caso de uso no tiene definido un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Normal y Flujo Alterno:</w:t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4 y 2, respectivamente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especifica cuales son los datos necesarios para crear una nueva categoría o subcategoría.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alterno:</w:t>
            </w:r>
          </w:p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especifica cual es la validación que se le debe hacer a los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especifica en qué paso del flujo normal o alterno se deriva esta excepción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documento de especificación de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encuentran unas pequeñas fallas de ortografía y presentación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Sintaxis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7/p+p4SQMCfdKWHo6c7XJWKAvA==">AMUW2mXQQ81slNwBO4jtD7q7MboYOfoTrIHWRjoNhE0aPr2CWcoNInVU52OW5CR8Xo+8jrWYcFsHzKSi1CBgCBClaMSI6lD1/JuK9LB3VAl8oQCDg/Y9lNQ=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