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Layout w:type="fixed"/>
        <w:tblLook w:val="0600"/>
      </w:tblPr>
      <w:tblGrid>
        <w:gridCol w:w="915"/>
        <w:gridCol w:w="2205"/>
        <w:gridCol w:w="1365"/>
        <w:gridCol w:w="1755"/>
        <w:gridCol w:w="1185"/>
        <w:gridCol w:w="1965"/>
        <w:tblGridChange w:id="0">
          <w:tblGrid>
            <w:gridCol w:w="915"/>
            <w:gridCol w:w="2205"/>
            <w:gridCol w:w="1365"/>
            <w:gridCol w:w="1755"/>
            <w:gridCol w:w="1185"/>
            <w:gridCol w:w="19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5:20 p.m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5:37 p.m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Layout w:type="fixed"/>
        <w:tblLook w:val="0600"/>
      </w:tblPr>
      <w:tblGrid>
        <w:gridCol w:w="2190"/>
        <w:gridCol w:w="7200"/>
        <w:tblGridChange w:id="0">
          <w:tblGrid>
            <w:gridCol w:w="219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Especificación caso de uso - Modificar categorías y subcategorías de gastos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Layout w:type="fixed"/>
        <w:tblLook w:val="0600"/>
      </w:tblPr>
      <w:tblGrid>
        <w:gridCol w:w="1470"/>
        <w:gridCol w:w="7920"/>
        <w:tblGridChange w:id="0">
          <w:tblGrid>
            <w:gridCol w:w="147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1 -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dejan definidas las dos opciones del sistema (modificar categoría o subcategoría) en el mismo flujo de eventos siendo más indicado crear un flujo para cada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definen los datos de entrada necesarios para el caso de uso dejando los datos de los formularios generales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establecen validaciones de sistema con respecto a los formularios y datos ingresados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Claros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realizaron validaciones de ningún tipo en el flujo por tanto no hay especificidad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Claros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las excepciones no se indica a que paso de que flujo retorna cada una al finalizar su proceso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hjqtQ3v5o873thZaq6FGGVHIw==">AMUW2mUERkIXL/rQvQcJX3/+qHMwhpISGOjO6yhMPv5SyqDX/9I6cu0/urwbqxrAPfQjn+Le0iT5T2lYqeKj7+9Npf5JIgKRlW+y8Qcl9xhqS70zWluVOvs=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