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26/04/2021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José Daniel Cruz Á.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Revisión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Se establecen dos opciones dentro del flujo normal en vez de crear un flujo alterno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 se definen los campos de entrada para el caso de uso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 se especifican las validaciones necesarias para el sistema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 se realizan validaciones por lo tanto no hay especificidad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 se indica correctamente a donde regresa cada excepción</w:t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0N2KSZlhdrlkbJSIPnStnxaIJA==">AMUW2mWDRywQBjCXY4GHwWqS4x16IFjhwwrleeN895pIneZS3S5lzTogH8uuGWInQ6qThP9sL3X0uhweh6ofF0B8TyaZ4sKsuht0VX4SCXJeT+FheEBl3Yw=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