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26/04/2021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José Daniel Cruz Á.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Revisión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570"/>
        <w:gridCol w:w="1875"/>
        <w:tblGridChange w:id="0">
          <w:tblGrid>
            <w:gridCol w:w="6941"/>
            <w:gridCol w:w="570"/>
            <w:gridCol w:w="187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El nombre del caso de uso no se asignó conforme a las actividades del caso y hay otro caso con el mismo nombre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 los datos de entrada de forma específica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se indica en el flujo, que sucede después de confirmar la acción y esto sería la salida proporcionada por 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se realizan validaciones durante el flujo a los datos ingresados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Debido a la falta de validaciones se pasan por alto otros posibles flujos o excepciones como errores con los datos o con la venta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 se efectúan validaciones por tanto no hay especificidad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i4wrqgGW7qj2eo8oQHLde5c4Kw==">AMUW2mWH7k+E9h9UQd2NyUAuw5mAfNDhhyznW+XTkR2sefkUy5ytvtrFuTW4hXZGOIv2mtOqW0Ma+U1Q5rEXPow7NXKchMBgBzhDY1jzCvYZpmxxhbkCcP4=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