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Informe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668"/>
        <w:gridCol w:w="2268"/>
        <w:gridCol w:w="1559"/>
        <w:gridCol w:w="1134"/>
        <w:gridCol w:w="1134"/>
        <w:gridCol w:w="865"/>
        <w:tblGridChange w:id="0">
          <w:tblGrid>
            <w:gridCol w:w="1850"/>
            <w:gridCol w:w="668"/>
            <w:gridCol w:w="2268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26-04-2021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2:10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2:19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Revisado: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modelo análisis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 crear categorías y subcategoría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8" w:hRule="atLeast"/>
        </w:trPr>
        <w:tc>
          <w:tcPr/>
          <w:p w:rsidR="00000000" w:rsidDel="00000000" w:rsidP="00000000" w:rsidRDefault="00000000" w:rsidRPr="00000000" w14:paraId="000000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Revisor(es):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Localización: Indica dónde se encontró el error. Puede ser el número de línea en el código, el número de página en un documento, la sección o número de paso en un caso de uso,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Descripción: Descripción breve y clara del error encontrado.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Tipo: Tipo de error encontrado. Por ejemplo: incompleto, ambiguo, sintaxis, estándares,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ind w:left="360" w:hanging="360"/>
        <w:rPr>
          <w:i w:val="0"/>
          <w:sz w:val="18"/>
          <w:szCs w:val="18"/>
          <w:vertAlign w:val="baseline"/>
        </w:rPr>
      </w:pPr>
      <w:r w:rsidDel="00000000" w:rsidR="00000000" w:rsidRPr="00000000">
        <w:rPr>
          <w:i w:val="1"/>
          <w:sz w:val="18"/>
          <w:szCs w:val="18"/>
          <w:vertAlign w:val="baseline"/>
          <w:rtl w:val="0"/>
        </w:rPr>
        <w:t xml:space="preserve">Gravedad: Alta o Baja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Defectos encontrados</w:t>
      </w: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5"/>
        <w:gridCol w:w="5426"/>
        <w:gridCol w:w="1384"/>
        <w:gridCol w:w="1305"/>
        <w:tblGridChange w:id="0">
          <w:tblGrid>
            <w:gridCol w:w="1505"/>
            <w:gridCol w:w="5426"/>
            <w:gridCol w:w="1384"/>
            <w:gridCol w:w="130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Localización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Gravedad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Lista chequeo - pag 1- relaciones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Faltan nombres de las relaciones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incompleto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eMt576NxJq7rp3fwMtbusWeRJA==">AMUW2mVd6IXUxAwrVG1qdPqko6yZ/U8kqzrywrOwqgcvfnfWLOmX6JzicLmcisJkCjoCTo6pDazB8dQmnO1E5FVRmnkF1epcv9YSMDrjvw3tjiw2GfSBSGU=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2020-07-06T04:18:00Z</dcterms:created>
  <dc:creator>Sandra Victoria Hurtado Gil</dc:creator>
</cp:coreProperties>
</file>