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7:16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7:18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análisis - Crear categorías y subcategorías de gastos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nombres a las relaciones entre entidades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92cFBmaJHrvFvhby2+I85s5ag==">AMUW2mXsvgRjEVNJ7EuEMxc0JGv+kjDH3XW4ma403BEmlb/QJmaxq4B8hnGd7i9BQhmFqidiAWRAJUlCA1RJB7PSdXpwg5NHyngbYBxXBhoKzK4XuBXsinQ=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