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se especifican datos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alkMmamMu0QlvYVeN9eZFo6Ayg==">AMUW2mXon0VfuxenG1BiB80S8yVto118P2MKp7nd1ZbECeO9PXCAiAj1U2ZxorFna88q4Vsj6iqBH5OTeC4esuJEFkRjwOjRgDr7fGbMIkDaH6GqOd6Zhswbn4MSy8rpSloWCuO2lZrl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