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65"/>
        <w:gridCol w:w="1755"/>
        <w:tblGridChange w:id="0">
          <w:tblGrid>
            <w:gridCol w:w="7027"/>
            <w:gridCol w:w="765"/>
            <w:gridCol w:w="175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definen de forma genérica los nombres para todo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definen nombres a las 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se realizan bucles necesarios para generar listas de objetos esperadas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Cuando se efectúa el proceso se obtiene datos ya existentes cuando se debería crear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Jkc1AZiOqEaHvcD/SEMFf854A==">AMUW2mVeXFW714cbDcjBaXYwPRMNb/zBQZxzWYbYz9nM/f+Y/4OoEmyQv1g+guyxPfNvv0RQzyauN/sRiH5z65tBiTxw7vHPheJ4JcHEAR9VFIO+LbkOC6y2uW31rrUr4KFWRuroHbvu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