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congruencia con los nombres de otros diagramas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establecieron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establecieron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establecieron responsabilidades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le dieron nombre a las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multiplicicdad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herencia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extend o include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objetos mesas, platos, clientes no corresponden al objeto real y no pueden enviar la info requerida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se crea el objeto registrar venta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QMRYEJ73+oTfpWnaMwxr4NN2g==">AMUW2mX+FQGNLr8DiwjRGudoKbaljsGuZO8u9jx+BPZv1vONiI6AoQ0yvi1c3IJ7IjLuSRicadpsNxFoPsq6jrP2JoCfC8bmuVsnVzyJumxbstFpgXSstBjLkNGmxi6+qlj9kUduvHgT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