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400" w:lineRule="exact"/>
        <w:jc w:val="center"/>
        <w:rPr>
          <w:rFonts w:ascii="微软雅黑" w:hAnsi="微软雅黑" w:eastAsia="微软雅黑"/>
          <w:b/>
          <w:sz w:val="28"/>
          <w:szCs w:val="28"/>
        </w:rPr>
      </w:pPr>
      <w:r>
        <w:rPr>
          <w:rFonts w:ascii="微软雅黑" w:hAnsi="微软雅黑" w:eastAsia="微软雅黑"/>
          <w:b/>
          <w:sz w:val="28"/>
          <w:szCs w:val="28"/>
        </w:rPr>
        <w:t>保险知情同意书</w:t>
      </w:r>
    </w:p>
    <w:p>
      <w:pPr>
        <w:snapToGrid w:val="0"/>
        <w:spacing w:before="100" w:beforeAutospacing="1" w:after="100" w:afterAutospacing="1"/>
        <w:contextualSpacing/>
        <w:rPr>
          <w:rFonts w:ascii="微软雅黑" w:hAnsi="微软雅黑" w:eastAsia="微软雅黑"/>
          <w:szCs w:val="21"/>
        </w:rPr>
      </w:pPr>
      <w:r>
        <w:rPr>
          <w:rFonts w:hint="eastAsia" w:ascii="微软雅黑" w:hAnsi="微软雅黑" w:eastAsia="微软雅黑"/>
          <w:szCs w:val="21"/>
        </w:rPr>
        <w:t>尊敬</w:t>
      </w:r>
      <w:r>
        <w:rPr>
          <w:rFonts w:ascii="微软雅黑" w:hAnsi="微软雅黑" w:eastAsia="微软雅黑"/>
          <w:szCs w:val="21"/>
        </w:rPr>
        <w:t>的</w:t>
      </w:r>
      <w:r>
        <w:rPr>
          <w:rFonts w:hint="eastAsia" w:ascii="微软雅黑" w:hAnsi="微软雅黑" w:eastAsia="微软雅黑"/>
          <w:szCs w:val="21"/>
        </w:rPr>
        <w:t>客户</w:t>
      </w:r>
      <w:r>
        <w:rPr>
          <w:rFonts w:ascii="微软雅黑" w:hAnsi="微软雅黑" w:eastAsia="微软雅黑"/>
          <w:szCs w:val="21"/>
        </w:rPr>
        <w:t>朋友：</w:t>
      </w:r>
    </w:p>
    <w:p>
      <w:pPr>
        <w:ind w:firstLine="420" w:firstLineChars="200"/>
        <w:rPr>
          <w:rFonts w:ascii="微软雅黑" w:hAnsi="微软雅黑" w:eastAsia="微软雅黑" w:cstheme="minorBidi"/>
          <w:szCs w:val="21"/>
        </w:rPr>
      </w:pPr>
      <w:r>
        <w:rPr>
          <w:rFonts w:hint="eastAsia" w:ascii="微软雅黑" w:hAnsi="微软雅黑" w:eastAsia="微软雅黑"/>
          <w:szCs w:val="21"/>
        </w:rPr>
        <w:t>您好！感谢您选择</w:t>
      </w:r>
      <w:r>
        <w:rPr>
          <w:rFonts w:hint="eastAsia" w:ascii="微软雅黑" w:hAnsi="微软雅黑" w:eastAsia="微软雅黑"/>
          <w:kern w:val="0"/>
          <w:sz w:val="21"/>
          <w:szCs w:val="21"/>
          <w:u w:val="none"/>
          <w:lang w:eastAsia="zh-CN"/>
        </w:rPr>
        <w:t>长生树</w:t>
      </w:r>
      <w:r>
        <w:rPr>
          <w:rFonts w:hint="eastAsia" w:ascii="微软雅黑" w:hAnsi="微软雅黑" w:eastAsia="微软雅黑"/>
          <w:kern w:val="0"/>
          <w:sz w:val="21"/>
          <w:szCs w:val="21"/>
          <w:u w:val="none"/>
          <w:lang w:val="en-US" w:eastAsia="zh-CN"/>
        </w:rPr>
        <w:t>HPV</w:t>
      </w:r>
      <w:r>
        <w:rPr>
          <w:rFonts w:hint="eastAsia" w:ascii="微软雅黑" w:hAnsi="微软雅黑" w:eastAsia="微软雅黑"/>
          <w:szCs w:val="21"/>
        </w:rPr>
        <w:t>基因检测项目。当检测实验室接收到您合格的样本以及真实、有效的信息后，检测单位将作为投保人在泰康在线财产保险股份有限公司（以下简称“泰康在线”</w:t>
      </w:r>
      <w:r>
        <w:rPr>
          <w:rFonts w:ascii="微软雅黑" w:hAnsi="微软雅黑" w:eastAsia="微软雅黑"/>
          <w:szCs w:val="21"/>
        </w:rPr>
        <w:t>）</w:t>
      </w:r>
      <w:r>
        <w:rPr>
          <w:rFonts w:hint="eastAsia" w:ascii="微软雅黑" w:hAnsi="微软雅黑" w:eastAsia="微软雅黑"/>
          <w:szCs w:val="21"/>
        </w:rPr>
        <w:t>为您办理投保手续并交纳保险费用</w:t>
      </w:r>
      <w:r>
        <w:rPr>
          <w:rFonts w:ascii="微软雅黑" w:hAnsi="微软雅黑" w:eastAsia="微软雅黑"/>
          <w:szCs w:val="21"/>
        </w:rPr>
        <w:t>。</w:t>
      </w:r>
      <w:r>
        <w:rPr>
          <w:rFonts w:hint="eastAsia" w:ascii="微软雅黑" w:hAnsi="微软雅黑" w:eastAsia="微软雅黑"/>
          <w:szCs w:val="21"/>
        </w:rPr>
        <w:t>具体保险</w:t>
      </w:r>
      <w:r>
        <w:rPr>
          <w:rFonts w:ascii="微软雅黑" w:hAnsi="微软雅黑" w:eastAsia="微软雅黑"/>
          <w:szCs w:val="21"/>
        </w:rPr>
        <w:t>责任如下：</w:t>
      </w:r>
    </w:p>
    <w:p>
      <w:pPr>
        <w:pStyle w:val="16"/>
        <w:numPr>
          <w:ilvl w:val="0"/>
          <w:numId w:val="1"/>
        </w:numPr>
        <w:snapToGrid w:val="0"/>
        <w:spacing w:before="100" w:beforeAutospacing="1" w:after="100" w:afterAutospacing="1"/>
        <w:ind w:left="374" w:hanging="373" w:hangingChars="178"/>
        <w:contextualSpacing/>
        <w:rPr>
          <w:rFonts w:ascii="微软雅黑" w:hAnsi="微软雅黑" w:eastAsia="微软雅黑" w:cstheme="minorBidi"/>
          <w:szCs w:val="21"/>
        </w:rPr>
      </w:pPr>
      <w:r>
        <w:rPr>
          <w:rFonts w:hint="eastAsia" w:ascii="微软雅黑" w:hAnsi="微软雅黑" w:eastAsia="微软雅黑" w:cstheme="minorBidi"/>
          <w:szCs w:val="21"/>
        </w:rPr>
        <w:t>如果</w:t>
      </w:r>
      <w:r>
        <w:rPr>
          <w:rFonts w:hint="eastAsia" w:ascii="微软雅黑" w:hAnsi="微软雅黑" w:eastAsia="微软雅黑" w:cstheme="minorBidi"/>
          <w:b w:val="0"/>
          <w:bCs w:val="0"/>
          <w:szCs w:val="21"/>
          <w:lang w:val="en-US" w:eastAsia="zh-CN"/>
        </w:rPr>
        <w:t>HPV检测结果</w:t>
      </w:r>
      <w:r>
        <w:rPr>
          <w:rFonts w:hint="eastAsia" w:ascii="微软雅黑" w:hAnsi="微软雅黑" w:eastAsia="微软雅黑" w:cstheme="minorBidi"/>
          <w:szCs w:val="21"/>
        </w:rPr>
        <w:t>为</w:t>
      </w:r>
      <w:r>
        <w:rPr>
          <w:rFonts w:hint="eastAsia" w:ascii="微软雅黑" w:hAnsi="微软雅黑" w:eastAsia="微软雅黑" w:cstheme="minorBidi"/>
          <w:b/>
          <w:bCs/>
          <w:szCs w:val="21"/>
        </w:rPr>
        <w:t>阴性</w:t>
      </w:r>
      <w:r>
        <w:rPr>
          <w:rFonts w:hint="eastAsia" w:ascii="微软雅黑" w:hAnsi="微软雅黑" w:eastAsia="微软雅黑" w:cstheme="minorBidi"/>
          <w:szCs w:val="21"/>
        </w:rPr>
        <w:t>，受检者</w:t>
      </w:r>
      <w:r>
        <w:rPr>
          <w:rFonts w:hint="eastAsia" w:ascii="微软雅黑" w:hAnsi="微软雅黑" w:eastAsia="微软雅黑" w:cstheme="minorBidi"/>
          <w:szCs w:val="21"/>
          <w:lang w:eastAsia="zh-CN"/>
        </w:rPr>
        <w:t>在合同约定的保险期间内</w:t>
      </w:r>
      <w:r>
        <w:rPr>
          <w:rFonts w:hint="eastAsia" w:ascii="微软雅黑" w:hAnsi="微软雅黑" w:eastAsia="微软雅黑" w:cstheme="minorBidi"/>
          <w:szCs w:val="21"/>
        </w:rPr>
        <w:t>经二级及以上公立医院专科医生首次明确诊断患有浸润性宫颈癌</w:t>
      </w:r>
      <w:r>
        <w:rPr>
          <w:rFonts w:hint="eastAsia" w:ascii="微软雅黑" w:hAnsi="微软雅黑" w:eastAsia="微软雅黑" w:cstheme="minorBidi"/>
          <w:szCs w:val="21"/>
          <w:lang w:eastAsia="zh-CN"/>
        </w:rPr>
        <w:t>，</w:t>
      </w:r>
      <w:r>
        <w:rPr>
          <w:rFonts w:hint="eastAsia" w:ascii="微软雅黑" w:hAnsi="微软雅黑" w:eastAsia="微软雅黑" w:cstheme="minorBidi"/>
          <w:szCs w:val="21"/>
        </w:rPr>
        <w:t>泰康在线给付被保险人保险金人民币</w:t>
      </w:r>
      <w:r>
        <w:rPr>
          <w:rFonts w:hint="eastAsia" w:ascii="微软雅黑" w:hAnsi="微软雅黑" w:eastAsia="微软雅黑" w:cstheme="minorBidi"/>
          <w:szCs w:val="21"/>
          <w:lang w:eastAsia="zh-CN"/>
        </w:rPr>
        <w:t>五</w:t>
      </w:r>
      <w:r>
        <w:rPr>
          <w:rFonts w:hint="eastAsia" w:ascii="微软雅黑" w:hAnsi="微软雅黑" w:eastAsia="微软雅黑" w:cstheme="minorBidi"/>
          <w:szCs w:val="21"/>
        </w:rPr>
        <w:t>万元整，同时被保险人的保险责任终止，被保险人不再向检测机构、投保单位、送检医院及保险公司追索任何其他费用。</w:t>
      </w:r>
    </w:p>
    <w:p>
      <w:pPr>
        <w:pStyle w:val="16"/>
        <w:numPr>
          <w:ilvl w:val="-1"/>
          <w:numId w:val="0"/>
        </w:numPr>
        <w:snapToGrid w:val="0"/>
        <w:spacing w:before="100" w:beforeAutospacing="1" w:after="100" w:afterAutospacing="1"/>
        <w:ind w:left="-374" w:leftChars="-178" w:firstLine="0" w:firstLineChars="0"/>
        <w:contextualSpacing/>
        <w:rPr>
          <w:rFonts w:ascii="微软雅黑" w:hAnsi="微软雅黑" w:eastAsia="微软雅黑" w:cstheme="minorBidi"/>
          <w:szCs w:val="21"/>
        </w:rPr>
      </w:pPr>
    </w:p>
    <w:p>
      <w:pPr>
        <w:pStyle w:val="16"/>
        <w:numPr>
          <w:ilvl w:val="0"/>
          <w:numId w:val="1"/>
        </w:numPr>
        <w:snapToGrid w:val="0"/>
        <w:spacing w:before="100" w:beforeAutospacing="1" w:after="100" w:afterAutospacing="1"/>
        <w:ind w:firstLineChars="0"/>
        <w:contextualSpacing/>
        <w:rPr>
          <w:rFonts w:ascii="微软雅黑" w:hAnsi="微软雅黑" w:eastAsia="微软雅黑" w:cstheme="minorBidi"/>
          <w:szCs w:val="21"/>
        </w:rPr>
      </w:pPr>
      <w:bookmarkStart w:id="0" w:name="_GoBack"/>
      <w:bookmarkEnd w:id="0"/>
      <w:r>
        <w:rPr>
          <w:rFonts w:ascii="微软雅黑" w:hAnsi="微软雅黑" w:eastAsia="微软雅黑" w:cstheme="minorBidi"/>
          <w:szCs w:val="21"/>
        </w:rPr>
        <mc:AlternateContent>
          <mc:Choice Requires="wps">
            <w:drawing>
              <wp:anchor distT="0" distB="0" distL="114300" distR="114300" simplePos="0" relativeHeight="251671552" behindDoc="0" locked="0" layoutInCell="1" allowOverlap="1">
                <wp:simplePos x="0" y="0"/>
                <wp:positionH relativeFrom="column">
                  <wp:posOffset>6305550</wp:posOffset>
                </wp:positionH>
                <wp:positionV relativeFrom="paragraph">
                  <wp:posOffset>374015</wp:posOffset>
                </wp:positionV>
                <wp:extent cx="504825" cy="2324100"/>
                <wp:effectExtent l="5080" t="4445" r="4445" b="14605"/>
                <wp:wrapNone/>
                <wp:docPr id="2" name="矩形 13"/>
                <wp:cNvGraphicFramePr/>
                <a:graphic xmlns:a="http://schemas.openxmlformats.org/drawingml/2006/main">
                  <a:graphicData uri="http://schemas.microsoft.com/office/word/2010/wordprocessingShape">
                    <wps:wsp>
                      <wps:cNvSpPr/>
                      <wps:spPr>
                        <a:xfrm>
                          <a:off x="0" y="0"/>
                          <a:ext cx="504825" cy="2324100"/>
                        </a:xfrm>
                        <a:prstGeom prst="rect">
                          <a:avLst/>
                        </a:prstGeom>
                        <a:noFill/>
                        <a:ln w="3175" cap="flat" cmpd="sng">
                          <a:solidFill>
                            <a:schemeClr val="bg1">
                              <a:lumMod val="65000"/>
                            </a:schemeClr>
                          </a:solidFill>
                          <a:prstDash val="solid"/>
                          <a:miter/>
                          <a:headEnd type="none" w="med" len="med"/>
                          <a:tailEnd type="none" w="med" len="med"/>
                        </a:ln>
                      </wps:spPr>
                      <wps:txbx>
                        <w:txbxContent>
                          <w:p>
                            <w:pPr>
                              <w:jc w:val="center"/>
                              <w:rPr>
                                <w:rFonts w:ascii="微软雅黑" w:hAnsi="微软雅黑" w:eastAsia="微软雅黑"/>
                                <w:color w:val="000000" w:themeColor="text1"/>
                                <w14:textFill>
                                  <w14:solidFill>
                                    <w14:schemeClr w14:val="tx1"/>
                                  </w14:solidFill>
                                </w14:textFill>
                              </w:rPr>
                            </w:pPr>
                            <w:r>
                              <w:rPr>
                                <w:rFonts w:hint="eastAsia" w:ascii="微软雅黑" w:hAnsi="微软雅黑" w:eastAsia="微软雅黑"/>
                                <w:color w:val="000000" w:themeColor="text1"/>
                                <w14:textFill>
                                  <w14:solidFill>
                                    <w14:schemeClr w14:val="tx1"/>
                                  </w14:solidFill>
                                </w14:textFill>
                              </w:rPr>
                              <w:t>第一联随标本送至实验室</w:t>
                            </w:r>
                          </w:p>
                        </w:txbxContent>
                      </wps:txbx>
                      <wps:bodyPr vert="eaVert" anchor="ctr" upright="1"/>
                    </wps:wsp>
                  </a:graphicData>
                </a:graphic>
              </wp:anchor>
            </w:drawing>
          </mc:Choice>
          <mc:Fallback>
            <w:pict>
              <v:rect id="矩形 13" o:spid="_x0000_s1026" o:spt="1" style="position:absolute;left:0pt;margin-left:496.5pt;margin-top:29.45pt;height:183pt;width:39.75pt;z-index:251671552;v-text-anchor:middle;mso-width-relative:page;mso-height-relative:page;" filled="f" stroked="t" coordsize="21600,21600" o:gfxdata="UEsDBAoAAAAAAIdO4kAAAAAAAAAAAAAAAAAEAAAAZHJzL1BLAwQUAAAACACHTuJAZjSt1NoAAAAL&#10;AQAADwAAAGRycy9kb3ducmV2LnhtbE2PzU7DMBCE70i8g7VI3KidkEAd4lQCFYTUU1s4cNsmJg7Y&#10;6yh2f3h73BMcRzOa+aZenJxlBz2FwZOCbCaAaWp9N1Cv4G37fDMHFiJSh9aTVvCjAyyay4saq84f&#10;aa0Pm9izVEKhQgUmxrHiPLRGOwwzP2pK3qefHMYkp553Ex5TubM8F+KOOxwoLRgc9ZPR7fdm7xTg&#10;6it7WRr+Lh9L+1H69esWl4VS11eZeAAW9Sn+heGMn9ChSUw7v6cuMKtAytv0JSoo5xLYOSDu8xLY&#10;TkGRFxJ4U/P/H5pfUEsDBBQAAAAIAIdO4kAm9u7ABAIAAPADAAAOAAAAZHJzL2Uyb0RvYy54bWyt&#10;U9uOEzEMfUfiH6K807l0W1ajTleIsrxwWWmBdzfJzETKTUnamX4NEm98BJ+D+A2cTOlyeUEIjZRx&#10;YvvYPrY3N5NW5Ch8kNa0tFqUlAjDLJemb+n7d7dPrikJEQwHZY1o6UkEerN9/GgzukbUdrCKC08Q&#10;xIRmdC0dYnRNUQQ2CA1hYZ0wqOys1xDx6vuCexgRXauiLst1MVrPnbdMhICvu1lJtxm/6wSLb7su&#10;iEhUSzG3mE+fz306i+0Gmt6DGyQ7pwH/kIUGaTDoBWoHEcjByz+gtGTeBtvFBbO6sF0nmcg1YDVV&#10;+Vs19wM4kWtBcoK70BT+Hyx7c7zzRPKW1pQY0Niibx8/f/3yiVTLRM7oQoM29+7On28BxVTp1Hmd&#10;/lgDmTKhpwuhYoqE4eOqvLquV5QwVNXL+qoqM+PFg7fzIb4UVpMktNRjwzKPcHwVIkZE0x8mKZix&#10;t1Kp3DRlyNjSZfU04QOOTqcgoqgdFhNMn2GCVZInl+QcfL9/rjw5Ag7Ds3X6spE66NeWz8/rVXnJ&#10;8Wyfk/gFKGW0gzDMLlk1D5KWUSSeoBkE8BeGk3hySKnB2acpXS04JUrgqiQpW0aQ6m8skQllMJfU&#10;kbkHSYrTfkKYJO4tP2EvcRmRSAEf8E8JGDZYnHcWPSUH52U/oLZKoTMSjlWu77wCaW5/vmerh0Xd&#10;fg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BmNK3U2gAAAAsBAAAPAAAAAAAAAAEAIAAAACIAAABk&#10;cnMvZG93bnJldi54bWxQSwECFAAUAAAACACHTuJAJvbuwAQCAADwAwAADgAAAAAAAAABACAAAAAp&#10;AQAAZHJzL2Uyb0RvYy54bWxQSwUGAAAAAAYABgBZAQAAnwUAAAAA&#10;">
                <v:fill on="f" focussize="0,0"/>
                <v:stroke weight="0.25pt" color="#A6A6A6 [2092]" joinstyle="miter"/>
                <v:imagedata o:title=""/>
                <o:lock v:ext="edit" aspectratio="f"/>
                <v:textbox style="layout-flow:vertical-ideographic;">
                  <w:txbxContent>
                    <w:p>
                      <w:pPr>
                        <w:jc w:val="center"/>
                        <w:rPr>
                          <w:rFonts w:ascii="微软雅黑" w:hAnsi="微软雅黑" w:eastAsia="微软雅黑"/>
                          <w:color w:val="000000" w:themeColor="text1"/>
                          <w14:textFill>
                            <w14:solidFill>
                              <w14:schemeClr w14:val="tx1"/>
                            </w14:solidFill>
                          </w14:textFill>
                        </w:rPr>
                      </w:pPr>
                      <w:r>
                        <w:rPr>
                          <w:rFonts w:hint="eastAsia" w:ascii="微软雅黑" w:hAnsi="微软雅黑" w:eastAsia="微软雅黑"/>
                          <w:color w:val="000000" w:themeColor="text1"/>
                          <w14:textFill>
                            <w14:solidFill>
                              <w14:schemeClr w14:val="tx1"/>
                            </w14:solidFill>
                          </w14:textFill>
                        </w:rPr>
                        <w:t>第一联随标本送至实验室</w:t>
                      </w:r>
                    </w:p>
                  </w:txbxContent>
                </v:textbox>
              </v:rect>
            </w:pict>
          </mc:Fallback>
        </mc:AlternateContent>
      </w:r>
      <w:r>
        <w:rPr>
          <w:rFonts w:hint="eastAsia" w:ascii="微软雅黑" w:hAnsi="微软雅黑" w:eastAsia="微软雅黑" w:cstheme="minorBidi"/>
          <w:szCs w:val="21"/>
        </w:rPr>
        <w:t>如果</w:t>
      </w:r>
      <w:r>
        <w:rPr>
          <w:rFonts w:hint="eastAsia" w:ascii="微软雅黑" w:hAnsi="微软雅黑" w:eastAsia="微软雅黑" w:cstheme="minorBidi"/>
          <w:b w:val="0"/>
          <w:bCs w:val="0"/>
          <w:szCs w:val="21"/>
          <w:lang w:val="en-US" w:eastAsia="zh-CN"/>
        </w:rPr>
        <w:t>HPV</w:t>
      </w:r>
      <w:r>
        <w:rPr>
          <w:rFonts w:hint="eastAsia" w:ascii="微软雅黑" w:hAnsi="微软雅黑" w:eastAsia="微软雅黑" w:cstheme="minorBidi"/>
          <w:b w:val="0"/>
          <w:bCs w:val="0"/>
          <w:szCs w:val="21"/>
          <w:lang w:val="en-US" w:eastAsia="zh-CN"/>
        </w:rPr>
        <w:t>检测结果</w:t>
      </w:r>
      <w:r>
        <w:rPr>
          <w:rFonts w:hint="eastAsia" w:ascii="微软雅黑" w:hAnsi="微软雅黑" w:eastAsia="微软雅黑" w:cstheme="minorBidi"/>
          <w:szCs w:val="21"/>
        </w:rPr>
        <w:t>为</w:t>
      </w:r>
      <w:r>
        <w:rPr>
          <w:rFonts w:hint="eastAsia" w:ascii="微软雅黑" w:hAnsi="微软雅黑" w:eastAsia="微软雅黑" w:cstheme="minorBidi"/>
          <w:b/>
          <w:bCs/>
          <w:szCs w:val="21"/>
        </w:rPr>
        <w:t>阳性</w:t>
      </w:r>
      <w:r>
        <w:rPr>
          <w:rFonts w:hint="eastAsia" w:ascii="微软雅黑" w:hAnsi="微软雅黑" w:eastAsia="微软雅黑" w:cstheme="minorBidi"/>
          <w:szCs w:val="21"/>
        </w:rPr>
        <w:t>，受检者</w:t>
      </w:r>
      <w:r>
        <w:rPr>
          <w:rFonts w:hint="eastAsia" w:ascii="微软雅黑" w:hAnsi="微软雅黑" w:eastAsia="微软雅黑" w:cstheme="minorBidi"/>
          <w:szCs w:val="21"/>
          <w:lang w:eastAsia="zh-CN"/>
        </w:rPr>
        <w:t>在合同约定的保险期间内</w:t>
      </w:r>
      <w:r>
        <w:rPr>
          <w:rFonts w:hint="eastAsia" w:ascii="微软雅黑" w:hAnsi="微软雅黑" w:eastAsia="微软雅黑" w:cstheme="minorBidi"/>
          <w:szCs w:val="21"/>
        </w:rPr>
        <w:t>在二级及以上公立医院接受进一步检查所产生的合理且必要的医疗费用，由泰康在线按照约定给予报销</w:t>
      </w:r>
      <w:r>
        <w:rPr>
          <w:rFonts w:hint="eastAsia" w:ascii="微软雅黑" w:hAnsi="微软雅黑" w:eastAsia="微软雅黑" w:cstheme="minorBidi"/>
          <w:szCs w:val="21"/>
          <w:lang w:eastAsia="zh-CN"/>
        </w:rPr>
        <w:t>，报销比例为</w:t>
      </w:r>
      <w:r>
        <w:rPr>
          <w:rFonts w:hint="eastAsia" w:ascii="微软雅黑" w:hAnsi="微软雅黑" w:eastAsia="微软雅黑" w:cstheme="minorBidi"/>
          <w:szCs w:val="21"/>
          <w:lang w:val="en-US" w:eastAsia="zh-CN"/>
        </w:rPr>
        <w:t>100%，</w:t>
      </w:r>
      <w:r>
        <w:rPr>
          <w:rFonts w:hint="eastAsia" w:ascii="微软雅黑" w:hAnsi="微软雅黑" w:eastAsia="微软雅黑" w:cstheme="minorBidi"/>
          <w:szCs w:val="21"/>
        </w:rPr>
        <w:t>被保险人最高给付金额为人民币</w:t>
      </w:r>
      <w:r>
        <w:rPr>
          <w:rFonts w:hint="eastAsia" w:ascii="微软雅黑" w:hAnsi="微软雅黑" w:eastAsia="微软雅黑" w:cstheme="minorBidi"/>
          <w:szCs w:val="21"/>
          <w:lang w:eastAsia="zh-CN"/>
        </w:rPr>
        <w:t>两百</w:t>
      </w:r>
      <w:r>
        <w:rPr>
          <w:rFonts w:hint="eastAsia" w:ascii="微软雅黑" w:hAnsi="微软雅黑" w:eastAsia="微软雅黑" w:cstheme="minorBidi"/>
          <w:szCs w:val="21"/>
        </w:rPr>
        <w:t>元整，同时对</w:t>
      </w:r>
      <w:r>
        <w:rPr>
          <w:rFonts w:hint="eastAsia" w:ascii="微软雅黑" w:hAnsi="微软雅黑" w:eastAsia="微软雅黑" w:cstheme="minorBidi"/>
          <w:szCs w:val="21"/>
          <w:lang w:eastAsia="zh-CN"/>
        </w:rPr>
        <w:t>被</w:t>
      </w:r>
      <w:r>
        <w:rPr>
          <w:rFonts w:hint="eastAsia" w:ascii="微软雅黑" w:hAnsi="微软雅黑" w:eastAsia="微软雅黑" w:cstheme="minorBidi"/>
          <w:szCs w:val="21"/>
        </w:rPr>
        <w:t>保险人保险责任终止。被保险人不再向检测机构、投保单位、送检医院及保险公司追索任何其他费用。</w:t>
      </w:r>
    </w:p>
    <w:p>
      <w:pPr>
        <w:pStyle w:val="16"/>
        <w:snapToGrid w:val="0"/>
        <w:spacing w:before="100" w:beforeAutospacing="1" w:after="100" w:afterAutospacing="1"/>
        <w:ind w:left="0" w:firstLine="0" w:firstLineChars="0"/>
        <w:contextualSpacing/>
        <w:rPr>
          <w:rFonts w:ascii="微软雅黑" w:hAnsi="微软雅黑" w:eastAsia="微软雅黑" w:cstheme="minorBidi"/>
          <w:szCs w:val="21"/>
        </w:rPr>
      </w:pPr>
    </w:p>
    <w:p>
      <w:pPr>
        <w:pStyle w:val="16"/>
        <w:snapToGrid w:val="0"/>
        <w:spacing w:before="100" w:beforeAutospacing="1" w:after="100" w:afterAutospacing="1"/>
        <w:ind w:firstLine="424" w:firstLineChars="202"/>
        <w:contextualSpacing/>
        <w:rPr>
          <w:rFonts w:ascii="微软雅黑" w:hAnsi="微软雅黑" w:eastAsia="微软雅黑"/>
          <w:szCs w:val="21"/>
        </w:rPr>
      </w:pPr>
      <w:r>
        <w:rPr>
          <w:rFonts w:hint="eastAsia" w:ascii="微软雅黑" w:hAnsi="微软雅黑" w:eastAsia="微软雅黑"/>
          <w:szCs w:val="21"/>
        </w:rPr>
        <w:t>本保单保险期限为自保单生效日起（以</w:t>
      </w:r>
      <w:r>
        <w:rPr>
          <w:rFonts w:hint="eastAsia" w:ascii="微软雅黑" w:hAnsi="微软雅黑" w:eastAsia="微软雅黑"/>
          <w:szCs w:val="21"/>
          <w:lang w:eastAsia="zh-CN"/>
        </w:rPr>
        <w:t>检测机构收到</w:t>
      </w:r>
      <w:r>
        <w:rPr>
          <w:rFonts w:hint="eastAsia" w:ascii="微软雅黑" w:hAnsi="微软雅黑" w:eastAsia="微软雅黑"/>
          <w:szCs w:val="21"/>
        </w:rPr>
        <w:t>被保险人的标本送检日期为准）1年内止。</w:t>
      </w:r>
    </w:p>
    <w:p>
      <w:pPr>
        <w:pStyle w:val="16"/>
        <w:snapToGrid w:val="0"/>
        <w:spacing w:before="100" w:beforeAutospacing="1" w:after="100" w:afterAutospacing="1"/>
        <w:ind w:firstLine="424" w:firstLineChars="202"/>
        <w:contextualSpacing/>
        <w:rPr>
          <w:rFonts w:ascii="微软雅黑" w:hAnsi="微软雅黑" w:eastAsia="微软雅黑"/>
          <w:szCs w:val="21"/>
        </w:rPr>
      </w:pPr>
      <w:r>
        <w:rPr>
          <w:rFonts w:hint="eastAsia" w:ascii="微软雅黑" w:hAnsi="微软雅黑" w:eastAsia="微软雅黑"/>
          <w:szCs w:val="21"/>
        </w:rPr>
        <w:t>被保险人在签署本《保险知情同意书》后的30个工作日内，可收到泰康在线发送的成功投保短信提醒，客户可通过预留手机号码收到泰康在线发送的短信提醒，登陆泰康在线官方查询界面</w:t>
      </w:r>
      <w:r>
        <w:rPr>
          <w:rFonts w:hint="eastAsia"/>
        </w:rPr>
        <w:t>http://www.tk.cn/scsy/bdzzcx/</w:t>
      </w:r>
      <w:r>
        <w:rPr>
          <w:rFonts w:hint="eastAsia" w:ascii="微软雅黑" w:hAnsi="微软雅黑" w:eastAsia="微软雅黑"/>
          <w:szCs w:val="21"/>
        </w:rPr>
        <w:t>，输入保单号及受检者</w:t>
      </w:r>
      <w:r>
        <w:rPr>
          <w:rFonts w:hint="eastAsia" w:ascii="微软雅黑" w:hAnsi="微软雅黑" w:eastAsia="微软雅黑"/>
          <w:szCs w:val="21"/>
          <w:lang w:eastAsia="zh-CN"/>
        </w:rPr>
        <w:t>身份证号</w:t>
      </w:r>
      <w:r>
        <w:rPr>
          <w:rFonts w:hint="eastAsia" w:ascii="微软雅黑" w:hAnsi="微软雅黑" w:eastAsia="微软雅黑"/>
          <w:szCs w:val="21"/>
        </w:rPr>
        <w:t>，即可进行查询并打印个人保险凭证或通过服务热线4000795522查询保单详情。</w:t>
      </w:r>
    </w:p>
    <w:p>
      <w:pPr>
        <w:pStyle w:val="16"/>
        <w:snapToGrid w:val="0"/>
        <w:spacing w:before="100" w:beforeAutospacing="1" w:after="100" w:afterAutospacing="1"/>
        <w:ind w:firstLine="424" w:firstLineChars="202"/>
        <w:contextualSpacing/>
        <w:rPr>
          <w:rFonts w:ascii="微软雅黑" w:hAnsi="微软雅黑" w:eastAsia="微软雅黑"/>
          <w:szCs w:val="21"/>
        </w:rPr>
      </w:pPr>
      <w:r>
        <w:rPr>
          <w:rFonts w:hint="eastAsia" w:ascii="微软雅黑" w:hAnsi="微软雅黑" w:eastAsia="微软雅黑"/>
          <w:szCs w:val="21"/>
        </w:rPr>
        <w:t>请</w:t>
      </w:r>
      <w:r>
        <w:rPr>
          <w:rFonts w:ascii="微软雅黑" w:hAnsi="微软雅黑" w:eastAsia="微软雅黑"/>
          <w:szCs w:val="21"/>
        </w:rPr>
        <w:t>认真阅读以上条款，</w:t>
      </w:r>
      <w:r>
        <w:rPr>
          <w:rFonts w:hint="eastAsia" w:ascii="微软雅黑" w:hAnsi="微软雅黑" w:eastAsia="微软雅黑"/>
          <w:szCs w:val="21"/>
        </w:rPr>
        <w:t>用正楷字认真</w:t>
      </w:r>
      <w:r>
        <w:rPr>
          <w:rFonts w:ascii="微软雅黑" w:hAnsi="微软雅黑" w:eastAsia="微软雅黑"/>
          <w:szCs w:val="21"/>
        </w:rPr>
        <w:t>填写</w:t>
      </w:r>
      <w:r>
        <w:rPr>
          <w:rFonts w:hint="eastAsia" w:ascii="微软雅黑" w:hAnsi="微软雅黑" w:eastAsia="微软雅黑"/>
          <w:szCs w:val="21"/>
        </w:rPr>
        <w:t>如下</w:t>
      </w:r>
      <w:r>
        <w:rPr>
          <w:rFonts w:ascii="微软雅黑" w:hAnsi="微软雅黑" w:eastAsia="微软雅黑"/>
          <w:szCs w:val="21"/>
        </w:rPr>
        <w:t>投保信息。</w:t>
      </w:r>
      <w:r>
        <w:rPr>
          <w:rFonts w:hint="eastAsia" w:ascii="微软雅黑" w:hAnsi="微软雅黑" w:eastAsia="微软雅黑"/>
          <w:szCs w:val="21"/>
        </w:rPr>
        <w:t>如因信息不正确、或所提供信息与身份证信息不相符导致无法投保，责任</w:t>
      </w:r>
      <w:r>
        <w:rPr>
          <w:rFonts w:ascii="微软雅黑" w:hAnsi="微软雅黑" w:eastAsia="微软雅黑"/>
          <w:szCs w:val="21"/>
        </w:rPr>
        <w:t>由</w:t>
      </w:r>
      <w:r>
        <w:rPr>
          <w:rFonts w:hint="eastAsia" w:ascii="微软雅黑" w:hAnsi="微软雅黑" w:eastAsia="微软雅黑"/>
          <w:szCs w:val="21"/>
        </w:rPr>
        <w:t>客户</w:t>
      </w:r>
      <w:r>
        <w:rPr>
          <w:rFonts w:ascii="微软雅黑" w:hAnsi="微软雅黑" w:eastAsia="微软雅黑"/>
          <w:szCs w:val="21"/>
        </w:rPr>
        <w:t>自负。</w:t>
      </w:r>
    </w:p>
    <w:p>
      <w:pPr>
        <w:pStyle w:val="16"/>
        <w:snapToGrid w:val="0"/>
        <w:spacing w:before="100" w:beforeAutospacing="1" w:after="100" w:afterAutospacing="1"/>
        <w:ind w:left="375" w:firstLine="800" w:firstLineChars="500"/>
        <w:contextualSpacing/>
        <w:rPr>
          <w:rFonts w:ascii="微软雅黑" w:hAnsi="微软雅黑" w:eastAsia="微软雅黑"/>
          <w:sz w:val="16"/>
          <w:szCs w:val="18"/>
        </w:rPr>
      </w:pPr>
      <w:r>
        <w:rPr>
          <w:rFonts w:ascii="微软雅黑" w:hAnsi="微软雅黑" w:eastAsia="微软雅黑"/>
          <w:sz w:val="16"/>
          <w:szCs w:val="18"/>
        </w:rPr>
        <mc:AlternateContent>
          <mc:Choice Requires="wps">
            <w:drawing>
              <wp:anchor distT="0" distB="0" distL="114300" distR="114300" simplePos="0" relativeHeight="251661312" behindDoc="0" locked="0" layoutInCell="1" allowOverlap="1">
                <wp:simplePos x="0" y="0"/>
                <wp:positionH relativeFrom="column">
                  <wp:posOffset>29845</wp:posOffset>
                </wp:positionH>
                <wp:positionV relativeFrom="paragraph">
                  <wp:posOffset>78105</wp:posOffset>
                </wp:positionV>
                <wp:extent cx="6154420" cy="0"/>
                <wp:effectExtent l="0" t="0" r="0" b="0"/>
                <wp:wrapNone/>
                <wp:docPr id="1" name="直接连接符 4"/>
                <wp:cNvGraphicFramePr/>
                <a:graphic xmlns:a="http://schemas.openxmlformats.org/drawingml/2006/main">
                  <a:graphicData uri="http://schemas.microsoft.com/office/word/2010/wordprocessingShape">
                    <wps:wsp>
                      <wps:cNvCnPr/>
                      <wps:spPr>
                        <a:xfrm>
                          <a:off x="0" y="0"/>
                          <a:ext cx="6154420" cy="0"/>
                        </a:xfrm>
                        <a:prstGeom prst="line">
                          <a:avLst/>
                        </a:prstGeom>
                        <a:ln w="28575" cap="flat" cmpd="sng">
                          <a:solidFill>
                            <a:schemeClr val="bg1">
                              <a:lumMod val="50000"/>
                            </a:schemeClr>
                          </a:solidFill>
                          <a:prstDash val="sysDash"/>
                          <a:headEnd type="none" w="med" len="med"/>
                          <a:tailEnd type="none" w="med" len="med"/>
                        </a:ln>
                      </wps:spPr>
                      <wps:bodyPr upright="1"/>
                    </wps:wsp>
                  </a:graphicData>
                </a:graphic>
              </wp:anchor>
            </w:drawing>
          </mc:Choice>
          <mc:Fallback>
            <w:pict>
              <v:line id="直接连接符 4" o:spid="_x0000_s1026" o:spt="20" style="position:absolute;left:0pt;margin-left:2.35pt;margin-top:6.15pt;height:0pt;width:484.6pt;z-index:251661312;mso-width-relative:page;mso-height-relative:page;" filled="f" stroked="t" coordsize="21600,21600" o:gfxdata="UEsDBAoAAAAAAIdO4kAAAAAAAAAAAAAAAAAEAAAAZHJzL1BLAwQUAAAACACHTuJAIgLGANIAAAAH&#10;AQAADwAAAGRycy9kb3ducmV2LnhtbE2Oy07DMBBF90j8gzVIbBC12xRCQ5wukBArhCiP9dQekgh7&#10;HNnug7/HiAUs70P3nnZ99E7sKaYxsIb5TIEgNsGO3Gt4fbm/vAGRMrJFF5g0fFGCdXd60mJjw4Gf&#10;ab/JvSgjnBrUMOQ8NVImM5DHNAsTcck+QvSYi4y9tBEPZdw7uVDqWnocuTwMONHdQOZzs/MaIi3f&#10;rtxT9W64ukBVG/b4+KD1+dlc3YLIdMx/ZfjBL+jQFaZt2LFNwmlY1qVY7EUFosSrulqB2P4asmvl&#10;f/7uG1BLAwQUAAAACACHTuJAxYCqMvABAAC7AwAADgAAAGRycy9lMm9Eb2MueG1srVNLbtswEN0X&#10;6B0I7mvZhp0EguUs4rqbfgy0PcBYpCQC/IFDW/YleoEC3bWrLrvvbZoeo0PKcYJmExSVAGrIGT6+&#10;9zhaXB+MZnsZUDlb8clozJm0tRPKthX/+GH94oozjGAFaGdlxY8S+fXy+bNF70s5dZ3TQgZGIBbL&#10;3le8i9GXRYF1Jw3gyHlpKdm4YCDSNLSFCNATutHFdDy+KHoXhA+uloi0uhqSfJnxm0bW8V3ToIxM&#10;V5y4xTyGPG7TWCwXULYBfKfqEw34BxYGlKVDz1AriMB2QT2CMqoODl0TR7UzhWsaVcusgdRMxn+p&#10;ed+Bl1kLmYP+bBP+P9j67X4TmBJ0d5xZMHRFt59//Pr09ffPLzTefv/GZsmk3mNJtTd2E04z9JuQ&#10;FB+aYNKXtLBDNvZ4NlYeIqtp8WIyn82m5H99lyvuN/qA8ZV0hqWg4lrZpBlK2L/GSIdR6V1JWtaW&#10;9RWfXs0v54QH1DONhkih8aQCbZs3o9NKrJXWaQuGdnujA9sDdcHlOr25SO/MGyeG5fmYnqSUjjvV&#10;D/FDoMRjBdgNW/CIaTL0UCdBvLSCxaMnDy01O088jRScaUn/RooIHsoISj+lkohoSxyS9YPZKdo6&#10;caQb2/mg2o7smmTOKUMdkhmfujm14MN5Rrr/55Z/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CIC&#10;xgDSAAAABwEAAA8AAAAAAAAAAQAgAAAAIgAAAGRycy9kb3ducmV2LnhtbFBLAQIUABQAAAAIAIdO&#10;4kDFgKoy8AEAALsDAAAOAAAAAAAAAAEAIAAAACEBAABkcnMvZTJvRG9jLnhtbFBLBQYAAAAABgAG&#10;AFkBAACDBQAAAAA=&#10;">
                <v:fill on="f" focussize="0,0"/>
                <v:stroke weight="2.25pt" color="#7F7F7F [1612]" joinstyle="round" dashstyle="3 1"/>
                <v:imagedata o:title=""/>
                <o:lock v:ext="edit" aspectratio="f"/>
              </v:line>
            </w:pict>
          </mc:Fallback>
        </mc:AlternateContent>
      </w:r>
    </w:p>
    <w:p>
      <w:pPr>
        <w:pStyle w:val="16"/>
        <w:snapToGrid w:val="0"/>
        <w:spacing w:before="100" w:beforeAutospacing="1"/>
        <w:contextualSpacing/>
        <w:rPr>
          <w:rFonts w:ascii="微软雅黑" w:hAnsi="微软雅黑" w:eastAsia="微软雅黑"/>
          <w:b/>
          <w:szCs w:val="21"/>
        </w:rPr>
      </w:pPr>
      <w:r>
        <w:rPr>
          <w:rFonts w:hint="eastAsia" w:ascii="微软雅黑" w:hAnsi="微软雅黑" w:eastAsia="微软雅黑"/>
          <w:b/>
          <w:szCs w:val="21"/>
        </w:rPr>
        <w:t>本人</w:t>
      </w:r>
      <w:r>
        <w:rPr>
          <w:rFonts w:ascii="微软雅黑" w:hAnsi="微软雅黑" w:eastAsia="微软雅黑"/>
          <w:b/>
          <w:szCs w:val="21"/>
        </w:rPr>
        <w:t>对</w:t>
      </w:r>
      <w:r>
        <w:rPr>
          <w:rFonts w:hint="eastAsia" w:ascii="微软雅黑" w:hAnsi="微软雅黑" w:eastAsia="微软雅黑"/>
          <w:b/>
          <w:szCs w:val="21"/>
        </w:rPr>
        <w:t>保险的具体条款和相关规定</w:t>
      </w:r>
      <w:r>
        <w:rPr>
          <w:rFonts w:ascii="微软雅黑" w:hAnsi="微软雅黑" w:eastAsia="微软雅黑"/>
          <w:b/>
          <w:szCs w:val="21"/>
        </w:rPr>
        <w:t>均已了解清楚，</w:t>
      </w:r>
      <w:r>
        <w:rPr>
          <w:rFonts w:hint="eastAsia" w:ascii="微软雅黑" w:hAnsi="微软雅黑" w:eastAsia="微软雅黑"/>
          <w:b/>
          <w:szCs w:val="21"/>
        </w:rPr>
        <w:t>承诺所</w:t>
      </w:r>
      <w:r>
        <w:rPr>
          <w:rFonts w:ascii="微软雅黑" w:hAnsi="微软雅黑" w:eastAsia="微软雅黑"/>
          <w:b/>
          <w:szCs w:val="21"/>
        </w:rPr>
        <w:t>提供</w:t>
      </w:r>
      <w:r>
        <w:rPr>
          <w:rFonts w:hint="eastAsia" w:ascii="微软雅黑" w:hAnsi="微软雅黑" w:eastAsia="微软雅黑"/>
          <w:b/>
          <w:szCs w:val="21"/>
        </w:rPr>
        <w:t>信息</w:t>
      </w:r>
      <w:r>
        <w:rPr>
          <w:rFonts w:ascii="微软雅黑" w:hAnsi="微软雅黑" w:eastAsia="微软雅黑"/>
          <w:b/>
          <w:szCs w:val="21"/>
        </w:rPr>
        <w:t>属实，同意</w:t>
      </w:r>
      <w:r>
        <w:rPr>
          <w:rFonts w:hint="eastAsia" w:ascii="微软雅黑" w:hAnsi="微软雅黑" w:eastAsia="微软雅黑"/>
          <w:b/>
          <w:szCs w:val="21"/>
        </w:rPr>
        <w:t>投保并填写相关信息。</w:t>
      </w:r>
    </w:p>
    <w:p>
      <w:pPr>
        <w:pStyle w:val="16"/>
        <w:snapToGrid w:val="0"/>
        <w:spacing w:before="100" w:beforeAutospacing="1"/>
        <w:contextualSpacing/>
        <w:rPr>
          <w:rFonts w:ascii="微软雅黑" w:hAnsi="微软雅黑" w:eastAsia="微软雅黑"/>
          <w:b/>
          <w:szCs w:val="21"/>
        </w:rPr>
      </w:pPr>
      <w:r>
        <w:rPr>
          <w:rFonts w:hint="eastAsia" w:ascii="微软雅黑" w:hAnsi="微软雅黑" w:eastAsia="微软雅黑"/>
          <w:b/>
          <w:szCs w:val="21"/>
        </w:rPr>
        <w:t>被保人姓名（客户本人）：                     联系方式（手机号码）：</w:t>
      </w:r>
    </w:p>
    <w:p>
      <w:pPr>
        <w:snapToGrid w:val="0"/>
        <w:spacing w:before="240" w:after="240"/>
        <w:ind w:firstLine="420" w:firstLineChars="200"/>
        <w:contextualSpacing/>
        <w:rPr>
          <w:rFonts w:ascii="微软雅黑" w:hAnsi="微软雅黑" w:eastAsia="微软雅黑"/>
          <w:b/>
          <w:szCs w:val="21"/>
        </w:rPr>
      </w:pPr>
      <w:r>
        <w:rPr>
          <w:rFonts w:hint="eastAsia" w:ascii="微软雅黑" w:hAnsi="微软雅黑" w:eastAsia="微软雅黑"/>
          <w:b/>
          <w:szCs w:val="21"/>
        </w:rPr>
        <w:t>身份证号</w:t>
      </w:r>
      <w:r>
        <w:rPr>
          <w:rFonts w:ascii="微软雅黑" w:hAnsi="微软雅黑" w:eastAsia="微软雅黑"/>
          <w:b/>
          <w:szCs w:val="21"/>
        </w:rPr>
        <w:t>：</w:t>
      </w:r>
      <w:r>
        <w:rPr>
          <w:rFonts w:hint="eastAsia" w:ascii="微软雅黑" w:hAnsi="微软雅黑" w:eastAsia="微软雅黑"/>
          <w:w w:val="80"/>
          <w:sz w:val="48"/>
          <w:szCs w:val="48"/>
        </w:rPr>
        <w:t>□□□□□□□□□□□□□□□□□□</w:t>
      </w:r>
    </w:p>
    <w:p>
      <w:pPr>
        <w:snapToGrid w:val="0"/>
        <w:spacing w:before="100" w:beforeAutospacing="1" w:after="100" w:afterAutospacing="1" w:line="360" w:lineRule="auto"/>
        <w:ind w:left="420" w:leftChars="200"/>
        <w:contextualSpacing/>
        <w:rPr>
          <w:rFonts w:ascii="微软雅黑" w:hAnsi="微软雅黑" w:eastAsia="微软雅黑"/>
          <w:b/>
          <w:szCs w:val="21"/>
        </w:rPr>
      </w:pPr>
      <w:r>
        <w:rPr>
          <w:rFonts w:hint="eastAsia" w:ascii="微软雅黑" w:hAnsi="微软雅黑" w:eastAsia="微软雅黑"/>
          <w:b/>
          <w:szCs w:val="21"/>
        </w:rPr>
        <w:t>客户（</w:t>
      </w:r>
      <w:r>
        <w:rPr>
          <w:rFonts w:ascii="微软雅黑" w:hAnsi="微软雅黑" w:eastAsia="微软雅黑"/>
          <w:b/>
          <w:szCs w:val="21"/>
        </w:rPr>
        <w:t>签名</w:t>
      </w:r>
      <w:r>
        <w:rPr>
          <w:rFonts w:hint="eastAsia" w:ascii="微软雅黑" w:hAnsi="微软雅黑" w:eastAsia="微软雅黑"/>
          <w:b/>
          <w:szCs w:val="21"/>
        </w:rPr>
        <w:t>）</w:t>
      </w:r>
      <w:r>
        <w:rPr>
          <w:rFonts w:ascii="微软雅黑" w:hAnsi="微软雅黑" w:eastAsia="微软雅黑"/>
          <w:b/>
          <w:szCs w:val="21"/>
        </w:rPr>
        <w:t>：</w:t>
      </w:r>
      <w:r>
        <w:rPr>
          <w:rFonts w:hint="eastAsia" w:ascii="微软雅黑" w:hAnsi="微软雅黑" w:eastAsia="微软雅黑"/>
          <w:b/>
          <w:szCs w:val="21"/>
        </w:rPr>
        <w:t>日期：     年月    日</w:t>
      </w:r>
    </w:p>
    <w:p>
      <w:pPr>
        <w:snapToGrid w:val="0"/>
        <w:spacing w:before="100" w:beforeAutospacing="1" w:after="100" w:afterAutospacing="1" w:line="360" w:lineRule="auto"/>
        <w:ind w:left="420" w:leftChars="200"/>
        <w:contextualSpacing/>
        <w:rPr>
          <w:rFonts w:ascii="微软雅黑" w:hAnsi="微软雅黑" w:eastAsia="微软雅黑"/>
          <w:b/>
          <w:szCs w:val="21"/>
        </w:rPr>
      </w:pPr>
    </w:p>
    <w:p>
      <w:pPr>
        <w:widowControl/>
        <w:jc w:val="center"/>
        <w:rPr>
          <w:rFonts w:ascii="微软雅黑" w:hAnsi="微软雅黑" w:eastAsia="微软雅黑"/>
          <w:b/>
          <w:sz w:val="24"/>
          <w:szCs w:val="24"/>
        </w:rPr>
      </w:pPr>
      <w:r>
        <w:rPr>
          <w:rFonts w:ascii="微软雅黑" w:hAnsi="微软雅黑" w:eastAsia="微软雅黑"/>
          <w:b/>
          <w:sz w:val="24"/>
          <w:szCs w:val="24"/>
        </w:rPr>
        <w:br w:type="page"/>
      </w:r>
      <w:r>
        <w:rPr>
          <w:rFonts w:ascii="微软雅黑" w:hAnsi="微软雅黑" w:eastAsia="微软雅黑"/>
          <w:b/>
          <w:sz w:val="28"/>
          <w:szCs w:val="28"/>
        </w:rPr>
        <w:t>理赔须知</w:t>
      </w:r>
    </w:p>
    <w:p>
      <w:pPr>
        <w:numPr>
          <w:ilvl w:val="0"/>
          <w:numId w:val="2"/>
        </w:numPr>
        <w:adjustRightInd w:val="0"/>
        <w:snapToGrid w:val="0"/>
        <w:rPr>
          <w:rFonts w:ascii="微软雅黑" w:hAnsi="微软雅黑" w:eastAsia="微软雅黑" w:cs="宋体"/>
          <w:color w:val="000000"/>
          <w:kern w:val="0"/>
          <w:szCs w:val="21"/>
        </w:rPr>
      </w:pPr>
      <w:r>
        <w:rPr>
          <w:rFonts w:ascii="微软雅黑" w:hAnsi="微软雅黑" w:eastAsia="微软雅黑" w:cs="宋体"/>
          <w:color w:val="000000"/>
          <w:kern w:val="0"/>
          <w:szCs w:val="21"/>
        </w:rPr>
        <w:t>理赔指引</w:t>
      </w:r>
      <w:r>
        <w:rPr>
          <w:rFonts w:hint="eastAsia" w:ascii="微软雅黑" w:hAnsi="微软雅黑" w:eastAsia="微软雅黑" w:cs="宋体"/>
          <w:color w:val="000000"/>
          <w:kern w:val="0"/>
          <w:szCs w:val="21"/>
        </w:rPr>
        <w:t xml:space="preserve">： </w:t>
      </w:r>
    </w:p>
    <w:p>
      <w:pPr>
        <w:adjustRightInd w:val="0"/>
        <w:snapToGrid w:val="0"/>
        <w:ind w:firstLine="420" w:firstLineChars="200"/>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第1项保险责任的</w:t>
      </w:r>
      <w:r>
        <w:rPr>
          <w:rFonts w:hint="eastAsia" w:ascii="微软雅黑" w:hAnsi="微软雅黑" w:eastAsia="微软雅黑" w:cs="宋体"/>
          <w:color w:val="000000"/>
          <w:kern w:val="0"/>
          <w:szCs w:val="21"/>
          <w:lang w:eastAsia="zh-CN"/>
        </w:rPr>
        <w:t>给付，</w:t>
      </w:r>
      <w:r>
        <w:rPr>
          <w:rFonts w:hint="eastAsia" w:ascii="微软雅黑" w:hAnsi="微软雅黑" w:eastAsia="微软雅黑" w:cs="宋体"/>
          <w:color w:val="000000"/>
          <w:kern w:val="0"/>
          <w:szCs w:val="21"/>
        </w:rPr>
        <w:t>请致电</w:t>
      </w:r>
      <w:r>
        <w:rPr>
          <w:rFonts w:hint="eastAsia" w:ascii="微软雅黑" w:hAnsi="微软雅黑" w:eastAsia="微软雅黑"/>
          <w:szCs w:val="21"/>
        </w:rPr>
        <w:t>泰康在线</w:t>
      </w:r>
      <w:r>
        <w:rPr>
          <w:rFonts w:hint="eastAsia" w:ascii="微软雅黑" w:hAnsi="微软雅黑" w:eastAsia="微软雅黑"/>
          <w:szCs w:val="21"/>
          <w:lang w:eastAsia="zh-CN"/>
        </w:rPr>
        <w:t>服务热线</w:t>
      </w:r>
      <w:r>
        <w:rPr>
          <w:rFonts w:hint="eastAsia" w:ascii="微软雅黑" w:hAnsi="微软雅黑" w:eastAsia="微软雅黑"/>
          <w:szCs w:val="21"/>
        </w:rPr>
        <w:t>4000795522</w:t>
      </w:r>
      <w:r>
        <w:rPr>
          <w:rFonts w:hint="eastAsia" w:ascii="微软雅黑" w:hAnsi="微软雅黑" w:eastAsia="微软雅黑"/>
          <w:szCs w:val="21"/>
          <w:lang w:eastAsia="zh-CN"/>
        </w:rPr>
        <w:t>报案</w:t>
      </w:r>
      <w:r>
        <w:rPr>
          <w:rFonts w:hint="eastAsia" w:ascii="微软雅黑" w:hAnsi="微软雅黑" w:eastAsia="微软雅黑" w:cs="宋体"/>
          <w:color w:val="000000"/>
          <w:kern w:val="0"/>
          <w:szCs w:val="21"/>
        </w:rPr>
        <w:t>，并请按下表准备理赔材料，通过以下地址邮寄到保险公司。</w:t>
      </w:r>
    </w:p>
    <w:p>
      <w:pPr>
        <w:adjustRightInd w:val="0"/>
        <w:snapToGrid w:val="0"/>
        <w:ind w:firstLine="420" w:firstLineChars="200"/>
        <w:rPr>
          <w:rFonts w:ascii="微软雅黑" w:hAnsi="微软雅黑" w:eastAsia="微软雅黑"/>
          <w:szCs w:val="21"/>
        </w:rPr>
      </w:pPr>
      <w:r>
        <w:rPr>
          <w:rFonts w:hint="eastAsia" w:ascii="微软雅黑" w:hAnsi="微软雅黑" w:eastAsia="微软雅黑" w:cs="宋体"/>
          <w:color w:val="000000"/>
          <w:kern w:val="0"/>
          <w:szCs w:val="21"/>
        </w:rPr>
        <w:t>第2项保险责任的报销</w:t>
      </w:r>
      <w:r>
        <w:rPr>
          <w:rFonts w:hint="eastAsia" w:ascii="微软雅黑" w:hAnsi="微软雅黑" w:eastAsia="微软雅黑" w:cs="宋体"/>
          <w:color w:val="000000"/>
          <w:kern w:val="0"/>
          <w:szCs w:val="21"/>
          <w:lang w:eastAsia="zh-CN"/>
        </w:rPr>
        <w:t>，</w:t>
      </w:r>
      <w:r>
        <w:rPr>
          <w:rFonts w:hint="eastAsia" w:ascii="微软雅黑" w:hAnsi="微软雅黑" w:eastAsia="微软雅黑" w:cs="宋体"/>
          <w:color w:val="000000"/>
          <w:kern w:val="0"/>
          <w:szCs w:val="21"/>
        </w:rPr>
        <w:t>可通过扫描理赔二维码，微信直接申请理赔。</w:t>
      </w:r>
    </w:p>
    <w:p>
      <w:pPr>
        <w:numPr>
          <w:ilvl w:val="0"/>
          <w:numId w:val="2"/>
        </w:numPr>
        <w:adjustRightInd w:val="0"/>
        <w:snapToGrid w:val="0"/>
        <w:spacing w:line="440" w:lineRule="exact"/>
        <w:rPr>
          <w:rFonts w:ascii="微软雅黑" w:hAnsi="微软雅黑" w:eastAsia="微软雅黑"/>
          <w:szCs w:val="21"/>
        </w:rPr>
      </w:pPr>
      <w:r>
        <w:rPr>
          <w:rFonts w:ascii="微软雅黑" w:hAnsi="微软雅黑" w:eastAsia="微软雅黑"/>
          <w:szCs w:val="21"/>
        </w:rPr>
        <w:t>理赔</w:t>
      </w:r>
      <w:r>
        <w:rPr>
          <w:rFonts w:hint="eastAsia" w:ascii="微软雅黑" w:hAnsi="微软雅黑" w:eastAsia="微软雅黑"/>
          <w:szCs w:val="21"/>
        </w:rPr>
        <w:t xml:space="preserve">所需资料：   </w:t>
      </w:r>
    </w:p>
    <w:tbl>
      <w:tblPr>
        <w:tblStyle w:val="10"/>
        <w:tblW w:w="970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60"/>
        <w:gridCol w:w="77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1578" w:hRule="atLeast"/>
          <w:jc w:val="center"/>
        </w:trPr>
        <w:tc>
          <w:tcPr>
            <w:tcW w:w="1960" w:type="dxa"/>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1、</w:t>
            </w:r>
            <w:r>
              <w:rPr>
                <w:rFonts w:hint="eastAsia" w:ascii="微软雅黑" w:hAnsi="微软雅黑" w:eastAsia="微软雅黑" w:cs="宋体"/>
                <w:color w:val="000000"/>
                <w:kern w:val="0"/>
                <w:sz w:val="18"/>
                <w:szCs w:val="18"/>
                <w:lang w:eastAsia="zh-CN"/>
              </w:rPr>
              <w:t>假</w:t>
            </w:r>
            <w:r>
              <w:rPr>
                <w:rFonts w:hint="eastAsia" w:ascii="微软雅黑" w:hAnsi="微软雅黑" w:eastAsia="微软雅黑" w:cs="宋体"/>
                <w:color w:val="000000"/>
                <w:kern w:val="0"/>
                <w:sz w:val="18"/>
                <w:szCs w:val="18"/>
              </w:rPr>
              <w:t>阴性</w:t>
            </w:r>
            <w:r>
              <w:rPr>
                <w:rFonts w:hint="eastAsia" w:ascii="微软雅黑" w:hAnsi="微软雅黑" w:eastAsia="微软雅黑" w:cs="宋体"/>
                <w:color w:val="000000"/>
                <w:kern w:val="0"/>
                <w:sz w:val="18"/>
                <w:szCs w:val="18"/>
                <w:lang w:eastAsia="zh-CN"/>
              </w:rPr>
              <w:t>给付</w:t>
            </w:r>
          </w:p>
          <w:p>
            <w:pPr>
              <w:widowControl/>
              <w:jc w:val="both"/>
              <w:rPr>
                <w:rFonts w:ascii="微软雅黑" w:hAnsi="微软雅黑" w:eastAsia="微软雅黑" w:cs="宋体"/>
                <w:color w:val="000000"/>
                <w:kern w:val="0"/>
                <w:sz w:val="18"/>
                <w:szCs w:val="18"/>
              </w:rPr>
            </w:pPr>
          </w:p>
        </w:tc>
        <w:tc>
          <w:tcPr>
            <w:tcW w:w="7743" w:type="dxa"/>
            <w:vAlign w:val="center"/>
          </w:tcPr>
          <w:p>
            <w:pPr>
              <w:pStyle w:val="12"/>
              <w:widowControl/>
              <w:numPr>
                <w:ilvl w:val="0"/>
                <w:numId w:val="3"/>
              </w:numPr>
              <w:ind w:firstLineChars="0"/>
              <w:jc w:val="left"/>
              <w:rPr>
                <w:rFonts w:ascii="微软雅黑" w:hAnsi="微软雅黑" w:eastAsia="微软雅黑" w:cs="宋体"/>
                <w:color w:val="000000" w:themeColor="text1"/>
                <w:kern w:val="0"/>
                <w:sz w:val="18"/>
                <w:szCs w:val="18"/>
                <w14:textFill>
                  <w14:solidFill>
                    <w14:schemeClr w14:val="tx1"/>
                  </w14:solidFill>
                </w14:textFill>
              </w:rPr>
            </w:pPr>
            <w:r>
              <w:rPr>
                <w:rFonts w:hint="eastAsia" w:ascii="微软雅黑" w:hAnsi="微软雅黑" w:eastAsia="微软雅黑" w:cs="宋体"/>
                <w:color w:val="000000" w:themeColor="text1"/>
                <w:kern w:val="0"/>
                <w:sz w:val="18"/>
                <w:szCs w:val="18"/>
                <w:lang w:eastAsia="zh-CN"/>
                <w14:textFill>
                  <w14:solidFill>
                    <w14:schemeClr w14:val="tx1"/>
                  </w14:solidFill>
                </w14:textFill>
              </w:rPr>
              <w:t>理</w:t>
            </w:r>
            <w:r>
              <w:rPr>
                <w:rFonts w:hint="eastAsia" w:ascii="微软雅黑" w:hAnsi="微软雅黑" w:eastAsia="微软雅黑" w:cs="宋体"/>
                <w:color w:val="000000" w:themeColor="text1"/>
                <w:kern w:val="0"/>
                <w:sz w:val="18"/>
                <w:szCs w:val="18"/>
                <w14:textFill>
                  <w14:solidFill>
                    <w14:schemeClr w14:val="tx1"/>
                  </w14:solidFill>
                </w14:textFill>
              </w:rPr>
              <w:t>赔申请书</w:t>
            </w:r>
          </w:p>
          <w:p>
            <w:pPr>
              <w:pStyle w:val="12"/>
              <w:widowControl/>
              <w:numPr>
                <w:ilvl w:val="0"/>
                <w:numId w:val="3"/>
              </w:numPr>
              <w:ind w:firstLineChars="0"/>
              <w:jc w:val="left"/>
              <w:rPr>
                <w:rFonts w:ascii="微软雅黑" w:hAnsi="微软雅黑" w:eastAsia="微软雅黑" w:cs="宋体"/>
                <w:color w:val="000000" w:themeColor="text1"/>
                <w:kern w:val="0"/>
                <w:sz w:val="18"/>
                <w:szCs w:val="18"/>
                <w14:textFill>
                  <w14:solidFill>
                    <w14:schemeClr w14:val="tx1"/>
                  </w14:solidFill>
                </w14:textFill>
              </w:rPr>
            </w:pPr>
            <w:r>
              <w:rPr>
                <w:rFonts w:hint="eastAsia" w:ascii="微软雅黑" w:hAnsi="微软雅黑" w:eastAsia="微软雅黑"/>
                <w:b w:val="0"/>
                <w:bCs w:val="0"/>
                <w:kern w:val="0"/>
                <w:sz w:val="18"/>
                <w:szCs w:val="18"/>
                <w:u w:val="none"/>
                <w:lang w:val="en-US" w:eastAsia="zh-CN"/>
              </w:rPr>
              <w:t>HPV</w:t>
            </w:r>
            <w:r>
              <w:rPr>
                <w:rFonts w:hint="eastAsia" w:ascii="微软雅黑" w:hAnsi="微软雅黑" w:eastAsia="微软雅黑" w:cs="宋体"/>
                <w:color w:val="000000" w:themeColor="text1"/>
                <w:kern w:val="0"/>
                <w:sz w:val="18"/>
                <w:szCs w:val="18"/>
                <w14:textFill>
                  <w14:solidFill>
                    <w14:schemeClr w14:val="tx1"/>
                  </w14:solidFill>
                </w14:textFill>
              </w:rPr>
              <w:t>基因检测报告单原件</w:t>
            </w:r>
          </w:p>
          <w:p>
            <w:pPr>
              <w:pStyle w:val="12"/>
              <w:widowControl/>
              <w:numPr>
                <w:ilvl w:val="0"/>
                <w:numId w:val="3"/>
              </w:numPr>
              <w:ind w:firstLineChars="0"/>
              <w:jc w:val="left"/>
              <w:rPr>
                <w:rFonts w:ascii="微软雅黑" w:hAnsi="微软雅黑" w:eastAsia="微软雅黑" w:cs="宋体"/>
                <w:color w:val="000000" w:themeColor="text1"/>
                <w:kern w:val="0"/>
                <w:sz w:val="18"/>
                <w:szCs w:val="18"/>
                <w14:textFill>
                  <w14:solidFill>
                    <w14:schemeClr w14:val="tx1"/>
                  </w14:solidFill>
                </w14:textFill>
              </w:rPr>
            </w:pPr>
            <w:r>
              <w:rPr>
                <w:rFonts w:hint="eastAsia" w:ascii="微软雅黑" w:hAnsi="微软雅黑" w:eastAsia="微软雅黑" w:cs="宋体"/>
                <w:color w:val="000000" w:themeColor="text1"/>
                <w:kern w:val="0"/>
                <w:sz w:val="18"/>
                <w:szCs w:val="18"/>
                <w:lang w:val="en-US" w:eastAsia="zh-CN"/>
                <w14:textFill>
                  <w14:solidFill>
                    <w14:schemeClr w14:val="tx1"/>
                  </w14:solidFill>
                </w14:textFill>
              </w:rPr>
              <w:t>确诊浸润性宫颈癌的病理学检查报告原件</w:t>
            </w:r>
          </w:p>
          <w:p>
            <w:pPr>
              <w:pStyle w:val="12"/>
              <w:widowControl/>
              <w:numPr>
                <w:ilvl w:val="0"/>
                <w:numId w:val="3"/>
              </w:numPr>
              <w:ind w:firstLineChars="0"/>
              <w:jc w:val="left"/>
              <w:rPr>
                <w:rFonts w:ascii="微软雅黑" w:hAnsi="微软雅黑" w:eastAsia="微软雅黑" w:cs="宋体"/>
                <w:color w:val="000000" w:themeColor="text1"/>
                <w:kern w:val="0"/>
                <w:sz w:val="18"/>
                <w:szCs w:val="18"/>
                <w14:textFill>
                  <w14:solidFill>
                    <w14:schemeClr w14:val="tx1"/>
                  </w14:solidFill>
                </w14:textFill>
              </w:rPr>
            </w:pPr>
            <w:r>
              <w:rPr>
                <w:rFonts w:hint="eastAsia" w:ascii="微软雅黑" w:hAnsi="微软雅黑" w:eastAsia="微软雅黑" w:cs="宋体"/>
                <w:color w:val="000000" w:themeColor="text1"/>
                <w:kern w:val="0"/>
                <w:sz w:val="18"/>
                <w:szCs w:val="18"/>
                <w:lang w:val="en-US" w:eastAsia="zh-CN"/>
                <w14:textFill>
                  <w14:solidFill>
                    <w14:schemeClr w14:val="tx1"/>
                  </w14:solidFill>
                </w14:textFill>
              </w:rPr>
              <w:t>病历资料，包括入院记录、出院小结复印件</w:t>
            </w:r>
          </w:p>
          <w:p>
            <w:pPr>
              <w:pStyle w:val="12"/>
              <w:widowControl/>
              <w:numPr>
                <w:ilvl w:val="0"/>
                <w:numId w:val="3"/>
              </w:numPr>
              <w:ind w:firstLineChars="0"/>
              <w:jc w:val="left"/>
              <w:rPr>
                <w:rFonts w:hint="eastAsia" w:ascii="微软雅黑" w:hAnsi="微软雅黑" w:eastAsia="微软雅黑" w:cs="宋体"/>
                <w:color w:val="000000" w:themeColor="text1"/>
                <w:kern w:val="0"/>
                <w:sz w:val="18"/>
                <w:szCs w:val="18"/>
                <w14:textFill>
                  <w14:solidFill>
                    <w14:schemeClr w14:val="tx1"/>
                  </w14:solidFill>
                </w14:textFill>
              </w:rPr>
            </w:pPr>
            <w:r>
              <w:rPr>
                <w:rFonts w:hint="eastAsia" w:ascii="微软雅黑" w:hAnsi="微软雅黑" w:eastAsia="微软雅黑" w:cs="宋体"/>
                <w:color w:val="000000" w:themeColor="text1"/>
                <w:kern w:val="0"/>
                <w:sz w:val="18"/>
                <w:szCs w:val="18"/>
                <w14:textFill>
                  <w14:solidFill>
                    <w14:schemeClr w14:val="tx1"/>
                  </w14:solidFill>
                </w14:textFill>
              </w:rPr>
              <w:t>被保险人身份证及银行卡正反面复印件（被保险人需要在复印件上签名和写上开户行信息）</w:t>
            </w:r>
          </w:p>
          <w:p>
            <w:pPr>
              <w:pStyle w:val="12"/>
              <w:widowControl/>
              <w:numPr>
                <w:ilvl w:val="0"/>
                <w:numId w:val="3"/>
              </w:numPr>
              <w:ind w:firstLineChars="0"/>
              <w:jc w:val="left"/>
              <w:rPr>
                <w:rFonts w:ascii="微软雅黑" w:hAnsi="微软雅黑" w:eastAsia="微软雅黑" w:cs="宋体"/>
                <w:color w:val="000000" w:themeColor="text1"/>
                <w:kern w:val="0"/>
                <w:sz w:val="18"/>
                <w:szCs w:val="18"/>
                <w14:textFill>
                  <w14:solidFill>
                    <w14:schemeClr w14:val="tx1"/>
                  </w14:solidFill>
                </w14:textFill>
              </w:rPr>
            </w:pPr>
            <w:r>
              <w:rPr>
                <w:rFonts w:hint="eastAsia" w:ascii="微软雅黑" w:hAnsi="微软雅黑" w:eastAsia="微软雅黑" w:cs="宋体"/>
                <w:color w:val="000000"/>
                <w:kern w:val="0"/>
                <w:sz w:val="18"/>
                <w:szCs w:val="18"/>
              </w:rPr>
              <w:t>本公司要求的申请人所能提供的与确认保险事故的性质、原因、伤害程度等相关的其他证明和资料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14" w:hRule="atLeast"/>
          <w:jc w:val="center"/>
        </w:trPr>
        <w:tc>
          <w:tcPr>
            <w:tcW w:w="1960" w:type="dxa"/>
            <w:vAlign w:val="center"/>
          </w:tcPr>
          <w:p>
            <w:pPr>
              <w:widowControl/>
              <w:ind w:left="360" w:hanging="360" w:hangingChars="200"/>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2、阳性报销</w:t>
            </w:r>
          </w:p>
          <w:p>
            <w:pPr>
              <w:widowControl/>
              <w:ind w:left="360" w:hanging="360" w:hangingChars="200"/>
              <w:jc w:val="center"/>
              <w:rPr>
                <w:rFonts w:ascii="微软雅黑" w:hAnsi="微软雅黑" w:eastAsia="微软雅黑" w:cs="宋体"/>
                <w:color w:val="000000"/>
                <w:kern w:val="0"/>
                <w:sz w:val="18"/>
                <w:szCs w:val="18"/>
              </w:rPr>
            </w:pPr>
          </w:p>
        </w:tc>
        <w:tc>
          <w:tcPr>
            <w:tcW w:w="7743" w:type="dxa"/>
            <w:vAlign w:val="center"/>
          </w:tcPr>
          <w:p>
            <w:pPr>
              <w:pStyle w:val="12"/>
              <w:widowControl/>
              <w:numPr>
                <w:ilvl w:val="0"/>
                <w:numId w:val="4"/>
              </w:numPr>
              <w:ind w:firstLineChars="0"/>
              <w:jc w:val="left"/>
              <w:rPr>
                <w:rFonts w:ascii="微软雅黑" w:hAnsi="微软雅黑" w:eastAsia="微软雅黑" w:cs="宋体"/>
                <w:color w:val="000000" w:themeColor="text1"/>
                <w:kern w:val="0"/>
                <w:sz w:val="18"/>
                <w:szCs w:val="18"/>
                <w14:textFill>
                  <w14:solidFill>
                    <w14:schemeClr w14:val="tx1"/>
                  </w14:solidFill>
                </w14:textFill>
              </w:rPr>
            </w:pPr>
            <w:r>
              <w:rPr>
                <w:rFonts w:hint="eastAsia" w:ascii="微软雅黑" w:hAnsi="微软雅黑" w:eastAsia="微软雅黑" w:cs="宋体"/>
                <w:color w:val="000000" w:themeColor="text1"/>
                <w:kern w:val="0"/>
                <w:sz w:val="18"/>
                <w:szCs w:val="18"/>
                <w:lang w:eastAsia="zh-CN"/>
                <w14:textFill>
                  <w14:solidFill>
                    <w14:schemeClr w14:val="tx1"/>
                  </w14:solidFill>
                </w14:textFill>
              </w:rPr>
              <w:t>理</w:t>
            </w:r>
            <w:r>
              <w:rPr>
                <w:rFonts w:hint="eastAsia" w:ascii="微软雅黑" w:hAnsi="微软雅黑" w:eastAsia="微软雅黑" w:cs="宋体"/>
                <w:color w:val="000000" w:themeColor="text1"/>
                <w:kern w:val="0"/>
                <w:sz w:val="18"/>
                <w:szCs w:val="18"/>
                <w14:textFill>
                  <w14:solidFill>
                    <w14:schemeClr w14:val="tx1"/>
                  </w14:solidFill>
                </w14:textFill>
              </w:rPr>
              <w:t>赔申请书</w:t>
            </w:r>
          </w:p>
          <w:p>
            <w:pPr>
              <w:pStyle w:val="12"/>
              <w:widowControl/>
              <w:numPr>
                <w:ilvl w:val="0"/>
                <w:numId w:val="4"/>
              </w:numPr>
              <w:ind w:firstLineChars="0"/>
              <w:jc w:val="left"/>
              <w:rPr>
                <w:rFonts w:ascii="微软雅黑" w:hAnsi="微软雅黑" w:eastAsia="微软雅黑" w:cs="宋体"/>
                <w:color w:val="000000" w:themeColor="text1"/>
                <w:kern w:val="0"/>
                <w:sz w:val="18"/>
                <w:szCs w:val="18"/>
                <w14:textFill>
                  <w14:solidFill>
                    <w14:schemeClr w14:val="tx1"/>
                  </w14:solidFill>
                </w14:textFill>
              </w:rPr>
            </w:pPr>
            <w:r>
              <w:rPr>
                <w:rFonts w:hint="eastAsia" w:ascii="微软雅黑" w:hAnsi="微软雅黑" w:eastAsia="微软雅黑"/>
                <w:b w:val="0"/>
                <w:bCs w:val="0"/>
                <w:kern w:val="0"/>
                <w:sz w:val="18"/>
                <w:szCs w:val="18"/>
                <w:u w:val="none"/>
                <w:lang w:val="en-US" w:eastAsia="zh-CN"/>
              </w:rPr>
              <w:t>HPV</w:t>
            </w:r>
            <w:r>
              <w:rPr>
                <w:rFonts w:hint="eastAsia" w:ascii="微软雅黑" w:hAnsi="微软雅黑" w:eastAsia="微软雅黑" w:cs="宋体"/>
                <w:color w:val="000000" w:themeColor="text1"/>
                <w:kern w:val="0"/>
                <w:sz w:val="18"/>
                <w:szCs w:val="18"/>
                <w14:textFill>
                  <w14:solidFill>
                    <w14:schemeClr w14:val="tx1"/>
                  </w14:solidFill>
                </w14:textFill>
              </w:rPr>
              <w:t>基因检测报告单原件</w:t>
            </w:r>
            <w:r>
              <w:rPr>
                <w:rFonts w:hint="eastAsia" w:ascii="微软雅黑" w:hAnsi="微软雅黑" w:eastAsia="微软雅黑" w:cs="宋体"/>
                <w:color w:val="000000" w:themeColor="text1"/>
                <w:kern w:val="0"/>
                <w:sz w:val="18"/>
                <w:szCs w:val="18"/>
                <w:lang w:eastAsia="zh-CN"/>
                <w14:textFill>
                  <w14:solidFill>
                    <w14:schemeClr w14:val="tx1"/>
                  </w14:solidFill>
                </w14:textFill>
              </w:rPr>
              <w:t>或复印件</w:t>
            </w:r>
          </w:p>
          <w:p>
            <w:pPr>
              <w:pStyle w:val="12"/>
              <w:widowControl/>
              <w:numPr>
                <w:ilvl w:val="0"/>
                <w:numId w:val="4"/>
              </w:numPr>
              <w:ind w:firstLineChars="0"/>
              <w:jc w:val="left"/>
              <w:rPr>
                <w:rFonts w:ascii="微软雅黑" w:hAnsi="微软雅黑" w:eastAsia="微软雅黑" w:cs="宋体"/>
                <w:color w:val="000000" w:themeColor="text1"/>
                <w:kern w:val="0"/>
                <w:sz w:val="18"/>
                <w:szCs w:val="18"/>
                <w14:textFill>
                  <w14:solidFill>
                    <w14:schemeClr w14:val="tx1"/>
                  </w14:solidFill>
                </w14:textFill>
              </w:rPr>
            </w:pPr>
            <w:r>
              <w:rPr>
                <w:rFonts w:hint="eastAsia" w:ascii="微软雅黑" w:hAnsi="微软雅黑" w:eastAsia="微软雅黑" w:cs="宋体"/>
                <w:color w:val="000000" w:themeColor="text1"/>
                <w:kern w:val="0"/>
                <w:sz w:val="18"/>
                <w:szCs w:val="18"/>
                <w14:textFill>
                  <w14:solidFill>
                    <w14:schemeClr w14:val="tx1"/>
                  </w14:solidFill>
                </w14:textFill>
              </w:rPr>
              <w:t>进一步检测的报告</w:t>
            </w:r>
            <w:r>
              <w:rPr>
                <w:rFonts w:hint="eastAsia" w:ascii="微软雅黑" w:hAnsi="微软雅黑" w:eastAsia="微软雅黑" w:cs="宋体"/>
                <w:color w:val="000000" w:themeColor="text1"/>
                <w:kern w:val="0"/>
                <w:sz w:val="18"/>
                <w:szCs w:val="18"/>
                <w:lang w:val="en-US" w:eastAsia="zh-CN"/>
                <w14:textFill>
                  <w14:solidFill>
                    <w14:schemeClr w14:val="tx1"/>
                  </w14:solidFill>
                </w14:textFill>
              </w:rPr>
              <w:t>原件或复印件</w:t>
            </w:r>
          </w:p>
          <w:p>
            <w:pPr>
              <w:pStyle w:val="12"/>
              <w:widowControl/>
              <w:numPr>
                <w:ilvl w:val="0"/>
                <w:numId w:val="4"/>
              </w:numPr>
              <w:ind w:firstLineChars="0"/>
              <w:jc w:val="left"/>
              <w:rPr>
                <w:rFonts w:ascii="微软雅黑" w:hAnsi="微软雅黑" w:eastAsia="微软雅黑" w:cs="宋体"/>
                <w:color w:val="000000" w:themeColor="text1"/>
                <w:kern w:val="0"/>
                <w:sz w:val="18"/>
                <w:szCs w:val="18"/>
                <w14:textFill>
                  <w14:solidFill>
                    <w14:schemeClr w14:val="tx1"/>
                  </w14:solidFill>
                </w14:textFill>
              </w:rPr>
            </w:pPr>
            <w:r>
              <w:rPr>
                <w:rFonts w:hint="eastAsia" w:ascii="微软雅黑" w:hAnsi="微软雅黑" w:eastAsia="微软雅黑" w:cs="宋体"/>
                <w:color w:val="000000" w:themeColor="text1"/>
                <w:kern w:val="0"/>
                <w:sz w:val="18"/>
                <w:szCs w:val="18"/>
                <w:lang w:eastAsia="zh-CN"/>
                <w14:textFill>
                  <w14:solidFill>
                    <w14:schemeClr w14:val="tx1"/>
                  </w14:solidFill>
                </w14:textFill>
              </w:rPr>
              <w:t>进一步检测的</w:t>
            </w:r>
            <w:r>
              <w:rPr>
                <w:rFonts w:hint="eastAsia" w:ascii="微软雅黑" w:hAnsi="微软雅黑" w:eastAsia="微软雅黑" w:cs="宋体"/>
                <w:color w:val="000000" w:themeColor="text1"/>
                <w:kern w:val="0"/>
                <w:sz w:val="18"/>
                <w:szCs w:val="18"/>
                <w14:textFill>
                  <w14:solidFill>
                    <w14:schemeClr w14:val="tx1"/>
                  </w14:solidFill>
                </w14:textFill>
              </w:rPr>
              <w:t>发票及费用清单</w:t>
            </w:r>
            <w:r>
              <w:rPr>
                <w:rFonts w:hint="eastAsia" w:ascii="微软雅黑" w:hAnsi="微软雅黑" w:eastAsia="微软雅黑" w:cs="宋体"/>
                <w:color w:val="000000" w:themeColor="text1"/>
                <w:kern w:val="0"/>
                <w:sz w:val="18"/>
                <w:szCs w:val="18"/>
                <w:lang w:val="en-US" w:eastAsia="zh-CN"/>
                <w14:textFill>
                  <w14:solidFill>
                    <w14:schemeClr w14:val="tx1"/>
                  </w14:solidFill>
                </w14:textFill>
              </w:rPr>
              <w:t>（包含但不限于妇科检查、LCT、妇科B超、生化检查、病理学检查、肿瘤标志物等）</w:t>
            </w:r>
          </w:p>
          <w:p>
            <w:pPr>
              <w:pStyle w:val="12"/>
              <w:widowControl/>
              <w:numPr>
                <w:ilvl w:val="0"/>
                <w:numId w:val="4"/>
              </w:numPr>
              <w:ind w:firstLineChars="0"/>
              <w:jc w:val="left"/>
              <w:rPr>
                <w:rFonts w:ascii="微软雅黑" w:hAnsi="微软雅黑" w:eastAsia="微软雅黑" w:cs="宋体"/>
                <w:color w:val="000000" w:themeColor="text1"/>
                <w:kern w:val="0"/>
                <w:sz w:val="18"/>
                <w:szCs w:val="18"/>
                <w14:textFill>
                  <w14:solidFill>
                    <w14:schemeClr w14:val="tx1"/>
                  </w14:solidFill>
                </w14:textFill>
              </w:rPr>
            </w:pPr>
            <w:r>
              <w:rPr>
                <w:rFonts w:hint="eastAsia" w:ascii="微软雅黑" w:hAnsi="微软雅黑" w:eastAsia="微软雅黑" w:cs="宋体"/>
                <w:color w:val="000000"/>
                <w:kern w:val="0"/>
                <w:sz w:val="18"/>
                <w:szCs w:val="18"/>
              </w:rPr>
              <w:t>被保险人身份证及银行卡正反面复印件（被保险人需要在复印件上签名和写上开户行信息）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jc w:val="center"/>
        </w:trPr>
        <w:tc>
          <w:tcPr>
            <w:tcW w:w="9703" w:type="dxa"/>
            <w:gridSpan w:val="2"/>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电子版索赔申请书可联系泰康工作人员索取或登录泰康在线官网</w:t>
            </w:r>
            <w:r>
              <w:rPr>
                <w:rFonts w:hint="eastAsia" w:ascii="微软雅黑" w:hAnsi="微软雅黑" w:eastAsia="微软雅黑" w:cs="宋体"/>
                <w:color w:val="000000"/>
                <w:kern w:val="0"/>
                <w:sz w:val="18"/>
                <w:szCs w:val="18"/>
                <w:lang w:eastAsia="zh-CN"/>
              </w:rPr>
              <w:t>（</w:t>
            </w:r>
            <w:r>
              <w:fldChar w:fldCharType="begin"/>
            </w:r>
            <w:r>
              <w:instrText xml:space="preserve"> HYPERLINK "http://www.tk.cn/lipei/" </w:instrText>
            </w:r>
            <w:r>
              <w:fldChar w:fldCharType="separate"/>
            </w:r>
            <w:r>
              <w:rPr>
                <w:rStyle w:val="8"/>
                <w:rFonts w:ascii="微软雅黑" w:hAnsi="微软雅黑" w:eastAsia="微软雅黑" w:cs="宋体"/>
                <w:kern w:val="0"/>
                <w:sz w:val="18"/>
                <w:szCs w:val="18"/>
              </w:rPr>
              <w:t>http://www.tk.cn/lipei/</w:t>
            </w:r>
            <w:r>
              <w:rPr>
                <w:rStyle w:val="8"/>
                <w:rFonts w:ascii="微软雅黑" w:hAnsi="微软雅黑" w:eastAsia="微软雅黑" w:cs="宋体"/>
                <w:kern w:val="0"/>
                <w:sz w:val="18"/>
                <w:szCs w:val="18"/>
              </w:rPr>
              <w:fldChar w:fldCharType="end"/>
            </w:r>
            <w:r>
              <w:rPr>
                <w:rStyle w:val="8"/>
                <w:rFonts w:hint="eastAsia" w:ascii="微软雅黑" w:hAnsi="微软雅黑" w:eastAsia="微软雅黑" w:cs="宋体"/>
                <w:kern w:val="0"/>
                <w:sz w:val="18"/>
                <w:szCs w:val="18"/>
                <w:lang w:eastAsia="zh-CN"/>
              </w:rPr>
              <w:t>）</w:t>
            </w:r>
            <w:r>
              <w:rPr>
                <w:rFonts w:hint="eastAsia" w:ascii="微软雅黑" w:hAnsi="微软雅黑" w:eastAsia="微软雅黑"/>
                <w:color w:val="000000"/>
                <w:sz w:val="18"/>
                <w:szCs w:val="18"/>
              </w:rPr>
              <w:t>点击理赔流程处的索赔申请书</w:t>
            </w:r>
            <w:r>
              <w:rPr>
                <w:rFonts w:hint="eastAsia" w:ascii="微软雅黑" w:hAnsi="微软雅黑" w:eastAsia="微软雅黑" w:cs="宋体"/>
                <w:color w:val="000000"/>
                <w:kern w:val="0"/>
                <w:sz w:val="18"/>
                <w:szCs w:val="18"/>
              </w:rPr>
              <w:t>下载</w:t>
            </w:r>
          </w:p>
        </w:tc>
      </w:tr>
    </w:tbl>
    <w:p>
      <w:pPr>
        <w:pStyle w:val="12"/>
        <w:numPr>
          <w:ilvl w:val="0"/>
          <w:numId w:val="2"/>
        </w:numPr>
        <w:adjustRightInd w:val="0"/>
        <w:snapToGrid w:val="0"/>
        <w:ind w:firstLineChars="0"/>
        <w:rPr>
          <w:rFonts w:ascii="微软雅黑" w:hAnsi="微软雅黑" w:eastAsia="微软雅黑"/>
          <w:szCs w:val="21"/>
        </w:rPr>
      </w:pPr>
      <w:r>
        <w:rPr>
          <w:rFonts w:hint="eastAsia" w:ascii="微软雅黑" w:hAnsi="微软雅黑" w:eastAsia="微软雅黑"/>
          <w:szCs w:val="21"/>
        </w:rPr>
        <w:t>邮寄信息：收件单位：泰康在线财产保险股份有限公司；收件人：</w:t>
      </w:r>
      <w:r>
        <w:rPr>
          <w:rFonts w:hint="eastAsia" w:ascii="微软雅黑" w:hAnsi="微软雅黑" w:eastAsia="微软雅黑"/>
          <w:szCs w:val="21"/>
          <w:lang w:eastAsia="zh-CN"/>
        </w:rPr>
        <w:t>健康险理赔</w:t>
      </w:r>
      <w:r>
        <w:rPr>
          <w:rFonts w:hint="eastAsia" w:ascii="微软雅黑" w:hAnsi="微软雅黑" w:eastAsia="微软雅黑"/>
          <w:szCs w:val="21"/>
        </w:rPr>
        <w:t>；联系电话：16619780720</w:t>
      </w:r>
      <w:r>
        <w:rPr>
          <w:rFonts w:hint="eastAsia" w:ascii="微软雅黑" w:hAnsi="微软雅黑" w:eastAsia="微软雅黑"/>
          <w:szCs w:val="21"/>
          <w:lang w:eastAsia="zh-CN"/>
        </w:rPr>
        <w:t>，</w:t>
      </w:r>
      <w:r>
        <w:rPr>
          <w:rFonts w:hint="eastAsia" w:ascii="微软雅黑" w:hAnsi="微软雅黑" w:eastAsia="微软雅黑"/>
          <w:szCs w:val="21"/>
        </w:rPr>
        <w:t>010-60852252；邮编：102206 ；联系地址：北京市昌平区中关村生命科学园生命园路12号泰康在线</w:t>
      </w:r>
    </w:p>
    <w:p>
      <w:pPr>
        <w:numPr>
          <w:ilvl w:val="0"/>
          <w:numId w:val="2"/>
        </w:numPr>
        <w:adjustRightInd w:val="0"/>
        <w:snapToGrid w:val="0"/>
        <w:rPr>
          <w:rFonts w:ascii="微软雅黑" w:hAnsi="微软雅黑" w:eastAsia="微软雅黑"/>
          <w:szCs w:val="21"/>
        </w:rPr>
      </w:pPr>
      <w:r>
        <w:rPr>
          <w:rFonts w:hint="eastAsia" w:ascii="微软雅黑" w:hAnsi="微软雅黑" w:eastAsia="微软雅黑"/>
          <w:szCs w:val="21"/>
        </w:rPr>
        <w:t>查询方式：</w:t>
      </w:r>
    </w:p>
    <w:p>
      <w:pPr>
        <w:pStyle w:val="12"/>
        <w:adjustRightInd w:val="0"/>
        <w:snapToGrid w:val="0"/>
        <w:ind w:left="360" w:firstLine="0" w:firstLineChars="0"/>
        <w:rPr>
          <w:rFonts w:ascii="微软雅黑" w:hAnsi="微软雅黑" w:eastAsia="微软雅黑"/>
          <w:szCs w:val="21"/>
        </w:rPr>
      </w:pPr>
      <w:r>
        <w:rPr>
          <w:rFonts w:hint="eastAsia" w:ascii="微软雅黑" w:hAnsi="微软雅黑" w:eastAsia="微软雅黑"/>
          <w:szCs w:val="21"/>
        </w:rPr>
        <w:t>官网查询：登陆泰康在线官方查询界面（</w:t>
      </w:r>
      <w:r>
        <w:rPr>
          <w:rFonts w:hint="eastAsia"/>
        </w:rPr>
        <w:t>http://www.tk.cn/scsy/bdzzcx/</w:t>
      </w:r>
      <w:r>
        <w:rPr>
          <w:rFonts w:hint="eastAsia" w:ascii="微软雅黑" w:hAnsi="微软雅黑" w:eastAsia="微软雅黑"/>
          <w:szCs w:val="21"/>
        </w:rPr>
        <w:t>），输入保单号及被保险人</w:t>
      </w:r>
      <w:r>
        <w:rPr>
          <w:rFonts w:hint="eastAsia" w:ascii="微软雅黑" w:hAnsi="微软雅黑" w:eastAsia="微软雅黑"/>
          <w:szCs w:val="21"/>
          <w:lang w:eastAsia="zh-CN"/>
        </w:rPr>
        <w:t>身份证号</w:t>
      </w:r>
      <w:r>
        <w:rPr>
          <w:rFonts w:hint="eastAsia" w:ascii="微软雅黑" w:hAnsi="微软雅黑" w:eastAsia="微软雅黑"/>
          <w:szCs w:val="21"/>
        </w:rPr>
        <w:t>，即可进行查询并打印个人保险凭证。</w:t>
      </w:r>
    </w:p>
    <w:p>
      <w:pPr>
        <w:pStyle w:val="12"/>
        <w:adjustRightInd w:val="0"/>
        <w:snapToGrid w:val="0"/>
        <w:ind w:left="360" w:firstLine="0" w:firstLineChars="0"/>
        <w:rPr>
          <w:rFonts w:ascii="微软雅黑" w:hAnsi="微软雅黑" w:eastAsia="微软雅黑"/>
          <w:szCs w:val="21"/>
        </w:rPr>
      </w:pPr>
      <w:r>
        <w:rPr>
          <w:rFonts w:hint="eastAsia" w:ascii="微软雅黑" w:hAnsi="微软雅黑" w:eastAsia="微软雅黑"/>
          <w:szCs w:val="21"/>
        </w:rPr>
        <w:t>热线查询：可通过泰康在线服务热线</w:t>
      </w:r>
      <w:r>
        <w:rPr>
          <w:rFonts w:ascii="微软雅黑" w:hAnsi="微软雅黑" w:eastAsia="微软雅黑"/>
          <w:szCs w:val="21"/>
        </w:rPr>
        <w:t>：</w:t>
      </w:r>
      <w:r>
        <w:rPr>
          <w:rFonts w:hint="eastAsia" w:ascii="微软雅黑" w:hAnsi="微软雅黑" w:eastAsia="微软雅黑"/>
          <w:szCs w:val="21"/>
        </w:rPr>
        <w:t>4000795522</w:t>
      </w:r>
      <w:r>
        <w:rPr>
          <w:rFonts w:ascii="微软雅黑" w:hAnsi="微软雅黑" w:eastAsia="微软雅黑"/>
          <w:szCs w:val="21"/>
        </w:rPr>
        <w:t>。</w:t>
      </w:r>
    </w:p>
    <w:p>
      <w:pPr>
        <w:numPr>
          <w:ilvl w:val="0"/>
          <w:numId w:val="2"/>
        </w:numPr>
        <w:adjustRightInd w:val="0"/>
        <w:snapToGrid w:val="0"/>
        <w:rPr>
          <w:rFonts w:ascii="微软雅黑" w:hAnsi="微软雅黑" w:eastAsia="微软雅黑"/>
          <w:szCs w:val="21"/>
        </w:rPr>
      </w:pPr>
      <w:r>
        <w:rPr>
          <w:rFonts w:hint="eastAsia" w:ascii="微软雅黑" w:hAnsi="微软雅黑" w:eastAsia="微软雅黑"/>
          <w:szCs w:val="21"/>
        </w:rPr>
        <w:t>具体保险责任及责任免除内容以保险条款及电子保单的约定为准。</w:t>
      </w:r>
    </w:p>
    <w:p>
      <w:pPr>
        <w:adjustRightInd w:val="0"/>
        <w:snapToGrid w:val="0"/>
        <w:spacing w:line="440" w:lineRule="exact"/>
        <w:ind w:left="360"/>
        <w:rPr>
          <w:rFonts w:ascii="微软雅黑" w:hAnsi="微软雅黑" w:eastAsia="微软雅黑"/>
          <w:b/>
          <w:color w:val="000000" w:themeColor="text1"/>
          <w:sz w:val="16"/>
          <w:szCs w:val="16"/>
          <w14:textFill>
            <w14:solidFill>
              <w14:schemeClr w14:val="tx1"/>
            </w14:solidFill>
          </w14:textFill>
        </w:rPr>
      </w:pPr>
      <w:r>
        <w:rPr>
          <w:rFonts w:hint="eastAsia" w:ascii="微软雅黑" w:hAnsi="微软雅黑" w:eastAsia="微软雅黑"/>
          <w:b/>
          <w:color w:val="000000" w:themeColor="text1"/>
          <w:sz w:val="16"/>
          <w:szCs w:val="16"/>
          <w14:textFill>
            <w14:solidFill>
              <w14:schemeClr w14:val="tx1"/>
            </w14:solidFill>
          </w14:textFill>
        </w:rPr>
        <w:drawing>
          <wp:anchor distT="0" distB="0" distL="114300" distR="114300" simplePos="0" relativeHeight="251673600" behindDoc="0" locked="0" layoutInCell="1" allowOverlap="1">
            <wp:simplePos x="0" y="0"/>
            <wp:positionH relativeFrom="column">
              <wp:posOffset>2493010</wp:posOffset>
            </wp:positionH>
            <wp:positionV relativeFrom="paragraph">
              <wp:posOffset>299085</wp:posOffset>
            </wp:positionV>
            <wp:extent cx="1172845" cy="1170305"/>
            <wp:effectExtent l="19050" t="0" r="7772" b="0"/>
            <wp:wrapNone/>
            <wp:docPr id="4" name="图片 1" descr="E:\渠道\贝瑞和康\贝瑞二维码06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E:\渠道\贝瑞和康\贝瑞二维码0626.png"/>
                    <pic:cNvPicPr>
                      <a:picLocks noChangeAspect="1" noChangeArrowheads="1"/>
                    </pic:cNvPicPr>
                  </pic:nvPicPr>
                  <pic:blipFill>
                    <a:blip r:embed="rId6"/>
                    <a:srcRect/>
                    <a:stretch>
                      <a:fillRect/>
                    </a:stretch>
                  </pic:blipFill>
                  <pic:spPr>
                    <a:xfrm>
                      <a:off x="0" y="0"/>
                      <a:ext cx="1173328" cy="1170432"/>
                    </a:xfrm>
                    <a:prstGeom prst="rect">
                      <a:avLst/>
                    </a:prstGeom>
                    <a:noFill/>
                    <a:ln w="9525">
                      <a:noFill/>
                      <a:miter lim="800000"/>
                      <a:headEnd/>
                      <a:tailEnd/>
                    </a:ln>
                  </pic:spPr>
                </pic:pic>
              </a:graphicData>
            </a:graphic>
          </wp:anchor>
        </w:drawing>
      </w:r>
    </w:p>
    <w:p>
      <w:pPr>
        <w:adjustRightInd w:val="0"/>
        <w:snapToGrid w:val="0"/>
        <w:spacing w:line="440" w:lineRule="exact"/>
        <w:ind w:left="360"/>
        <w:rPr>
          <w:rFonts w:ascii="微软雅黑" w:hAnsi="微软雅黑" w:eastAsia="微软雅黑"/>
          <w:b/>
          <w:color w:val="000000" w:themeColor="text1"/>
          <w:sz w:val="16"/>
          <w:szCs w:val="16"/>
          <w14:textFill>
            <w14:solidFill>
              <w14:schemeClr w14:val="tx1"/>
            </w14:solidFill>
          </w14:textFill>
        </w:rPr>
      </w:pPr>
    </w:p>
    <w:p>
      <w:pPr>
        <w:adjustRightInd w:val="0"/>
        <w:snapToGrid w:val="0"/>
        <w:spacing w:line="440" w:lineRule="exact"/>
        <w:ind w:left="360"/>
        <w:rPr>
          <w:rFonts w:ascii="微软雅黑" w:hAnsi="微软雅黑" w:eastAsia="微软雅黑"/>
          <w:b/>
          <w:color w:val="000000" w:themeColor="text1"/>
          <w:sz w:val="16"/>
          <w:szCs w:val="16"/>
          <w14:textFill>
            <w14:solidFill>
              <w14:schemeClr w14:val="tx1"/>
            </w14:solidFill>
          </w14:textFill>
        </w:rPr>
      </w:pPr>
    </w:p>
    <w:p>
      <w:pPr>
        <w:adjustRightInd w:val="0"/>
        <w:snapToGrid w:val="0"/>
        <w:spacing w:line="440" w:lineRule="exact"/>
        <w:ind w:left="360"/>
        <w:rPr>
          <w:rFonts w:hint="eastAsia" w:ascii="微软雅黑" w:hAnsi="微软雅黑" w:eastAsia="微软雅黑"/>
          <w:b/>
          <w:color w:val="000000" w:themeColor="text1"/>
          <w:sz w:val="16"/>
          <w:szCs w:val="16"/>
          <w14:textFill>
            <w14:solidFill>
              <w14:schemeClr w14:val="tx1"/>
            </w14:solidFill>
          </w14:textFill>
        </w:rPr>
      </w:pPr>
    </w:p>
    <w:p>
      <w:pPr>
        <w:adjustRightInd w:val="0"/>
        <w:snapToGrid w:val="0"/>
        <w:spacing w:line="440" w:lineRule="exact"/>
        <w:ind w:left="360"/>
        <w:rPr>
          <w:rFonts w:hint="eastAsia" w:ascii="微软雅黑" w:hAnsi="微软雅黑" w:eastAsia="微软雅黑"/>
          <w:b/>
          <w:color w:val="000000" w:themeColor="text1"/>
          <w:sz w:val="16"/>
          <w:szCs w:val="16"/>
          <w14:textFill>
            <w14:solidFill>
              <w14:schemeClr w14:val="tx1"/>
            </w14:solidFill>
          </w14:textFill>
        </w:rPr>
      </w:pPr>
    </w:p>
    <w:p>
      <w:pPr>
        <w:adjustRightInd w:val="0"/>
        <w:snapToGrid w:val="0"/>
        <w:spacing w:line="440" w:lineRule="exact"/>
        <w:ind w:left="360"/>
        <w:jc w:val="center"/>
        <w:rPr>
          <w:rFonts w:ascii="微软雅黑" w:hAnsi="微软雅黑" w:eastAsia="微软雅黑"/>
          <w:b/>
          <w:sz w:val="16"/>
          <w:szCs w:val="21"/>
        </w:rPr>
      </w:pPr>
      <w:r>
        <w:rPr>
          <w:rFonts w:hint="eastAsia" w:ascii="微软雅黑" w:hAnsi="微软雅黑" w:eastAsia="微软雅黑"/>
          <w:b/>
          <w:color w:val="404040" w:themeColor="text1" w:themeTint="BF"/>
          <w:sz w:val="18"/>
          <w:szCs w:val="24"/>
          <w14:textFill>
            <w14:solidFill>
              <w14:schemeClr w14:val="tx1">
                <w14:lumMod w14:val="75000"/>
                <w14:lumOff w14:val="25000"/>
              </w14:schemeClr>
            </w14:solidFill>
          </w14:textFill>
        </w:rPr>
        <w:t>扫描二维码，享受因合生物专属检测医疗保障保险理赔服务</w:t>
      </w:r>
    </w:p>
    <w:sectPr>
      <w:headerReference r:id="rId3" w:type="default"/>
      <w:footerReference r:id="rId4" w:type="default"/>
      <w:pgSz w:w="11906" w:h="16838"/>
      <w:pgMar w:top="1440" w:right="1080" w:bottom="1440" w:left="1080" w:header="680" w:footer="907"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Arial">
    <w:panose1 w:val="020B0604020202020204"/>
    <w:charset w:val="00"/>
    <w:family w:val="swiss"/>
    <w:pitch w:val="default"/>
    <w:sig w:usb0="E0002AFF" w:usb1="C0007843" w:usb2="00000009" w:usb3="00000000" w:csb0="400001FF" w:csb1="FFFF0000"/>
  </w:font>
  <w:font w:name="楷体_GB2312">
    <w:altName w:val="楷体"/>
    <w:panose1 w:val="00000000000000000000"/>
    <w:charset w:val="86"/>
    <w:family w:val="modern"/>
    <w:pitch w:val="default"/>
    <w:sig w:usb0="00000000" w:usb1="00000000" w:usb2="00000010" w:usb3="00000000" w:csb0="00040000" w:csb1="00000000"/>
  </w:font>
  <w:font w:name="Garamond">
    <w:altName w:val="PMingLiU-ExtB"/>
    <w:panose1 w:val="02020404030301010803"/>
    <w:charset w:val="00"/>
    <w:family w:val="roman"/>
    <w:pitch w:val="default"/>
    <w:sig w:usb0="00000000" w:usb1="00000000" w:usb2="00000000" w:usb3="00000000" w:csb0="0000009F" w:csb1="DFD70000"/>
  </w:font>
  <w:font w:name="Arial Black">
    <w:panose1 w:val="020B0A04020102020204"/>
    <w:charset w:val="00"/>
    <w:family w:val="swiss"/>
    <w:pitch w:val="default"/>
    <w:sig w:usb0="00000287" w:usb1="00000000" w:usb2="00000000" w:usb3="00000000" w:csb0="2000009F" w:csb1="DFD70000"/>
  </w:font>
  <w:font w:name="inherit">
    <w:altName w:val="Times New Roman"/>
    <w:panose1 w:val="00000000000000000000"/>
    <w:charset w:val="00"/>
    <w:family w:val="roman"/>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楷体">
    <w:panose1 w:val="02010609060101010101"/>
    <w:charset w:val="86"/>
    <w:family w:val="auto"/>
    <w:pitch w:val="default"/>
    <w:sig w:usb0="800002BF" w:usb1="38CF7CFA" w:usb2="00000016" w:usb3="00000000" w:csb0="00040001" w:csb1="00000000"/>
  </w:font>
  <w:font w:name="PMingLiU-ExtB">
    <w:panose1 w:val="02020500000000000000"/>
    <w:charset w:val="88"/>
    <w:family w:val="auto"/>
    <w:pitch w:val="default"/>
    <w:sig w:usb0="8000002F" w:usb1="02000008" w:usb2="00000000" w:usb3="00000000" w:csb0="00100001" w:csb1="00000000"/>
  </w:font>
  <w:font w:name="Courier New">
    <w:panose1 w:val="02070309020205020404"/>
    <w:charset w:val="00"/>
    <w:family w:val="modern"/>
    <w:pitch w:val="default"/>
    <w:sig w:usb0="E0002A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Arial Unicode MS">
    <w:altName w:val="宋体"/>
    <w:panose1 w:val="020B0604020202020204"/>
    <w:charset w:val="86"/>
    <w:family w:val="swiss"/>
    <w:pitch w:val="default"/>
    <w:sig w:usb0="00000000" w:usb1="00000000" w:usb2="0000003F" w:usb3="00000000" w:csb0="003F01FF" w:csb1="00000000"/>
  </w:font>
  <w:font w:name="Futura Bk">
    <w:altName w:val="Times New Roman"/>
    <w:panose1 w:val="00000000000000000000"/>
    <w:charset w:val="00"/>
    <w:family w:val="auto"/>
    <w:pitch w:val="default"/>
    <w:sig w:usb0="00000000" w:usb1="00000000" w:usb2="00000000" w:usb3="00000000" w:csb0="000001FB" w:csb1="00000000"/>
  </w:font>
  <w:font w:name="Arial Unicode MS">
    <w:altName w:val="Arial"/>
    <w:panose1 w:val="020B0604020202020204"/>
    <w:charset w:val="00"/>
    <w:family w:val="roman"/>
    <w:pitch w:val="default"/>
    <w:sig w:usb0="00000000" w:usb1="00000000" w:usb2="00000000" w:usb3="00000000" w:csb0="00000001" w:csb1="00000000"/>
  </w:font>
  <w:font w:name="宋体C儻.ュ騀.">
    <w:altName w:val="宋体"/>
    <w:panose1 w:val="00000000000000000000"/>
    <w:charset w:val="86"/>
    <w:family w:val="roman"/>
    <w:pitch w:val="default"/>
    <w:sig w:usb0="00000000" w:usb1="00000000" w:usb2="00000010" w:usb3="00000000" w:csb0="00040000" w:csb1="00000000"/>
  </w:font>
  <w:font w:name="等线">
    <w:altName w:val="宋体"/>
    <w:panose1 w:val="02010600030101010101"/>
    <w:charset w:val="86"/>
    <w:family w:val="auto"/>
    <w:pitch w:val="default"/>
    <w:sig w:usb0="00000000" w:usb1="00000000" w:usb2="00000016" w:usb3="00000000" w:csb0="0004000F" w:csb1="00000000"/>
  </w:font>
  <w:font w:name="等线 Light">
    <w:altName w:val="宋体"/>
    <w:panose1 w:val="02010600030101010101"/>
    <w:charset w:val="86"/>
    <w:family w:val="auto"/>
    <w:pitch w:val="default"/>
    <w:sig w:usb0="00000000" w:usb1="00000000" w:usb2="00000016" w:usb3="00000000" w:csb0="0004000F" w:csb1="00000000"/>
  </w:font>
  <w:font w:name="等线">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仿宋_GB2312">
    <w:altName w:val="仿宋"/>
    <w:panose1 w:val="00000000000000000000"/>
    <w:charset w:val="86"/>
    <w:family w:val="modern"/>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Arial" w:hAnsi="Arial" w:eastAsia="宋体" w:cs="Arial"/>
        <w:b/>
        <w:sz w:val="15"/>
        <w:szCs w:val="18"/>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left"/>
      <w:rPr>
        <w:rFonts w:ascii="宋体" w:hAnsi="宋体" w:eastAsia="宋体"/>
        <w:sz w:val="28"/>
        <w:szCs w:val="28"/>
      </w:rPr>
    </w:pPr>
    <w:r>
      <w:rPr>
        <w:rFonts w:hint="eastAsia" w:ascii="宋体" w:hAnsi="宋体" w:eastAsia="宋体"/>
        <w:b/>
        <w:sz w:val="28"/>
      </w:rPr>
      <w:drawing>
        <wp:inline distT="0" distB="0" distL="0" distR="0">
          <wp:extent cx="1450340" cy="355600"/>
          <wp:effectExtent l="0" t="0" r="0" b="6350"/>
          <wp:docPr id="8" name="图片 1" descr="D:\MyDocuments\caichun\桌面\泰康在线logo-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descr="D:\MyDocuments\caichun\桌面\泰康在线logo-01.png"/>
                  <pic:cNvPicPr>
                    <a:picLocks noChangeAspect="1" noChangeArrowheads="1"/>
                  </pic:cNvPicPr>
                </pic:nvPicPr>
                <pic:blipFill>
                  <a:blip r:embed="rId1" cstate="print"/>
                  <a:srcRect/>
                  <a:stretch>
                    <a:fillRect/>
                  </a:stretch>
                </pic:blipFill>
                <pic:spPr>
                  <a:xfrm>
                    <a:off x="0" y="0"/>
                    <a:ext cx="1459358" cy="358084"/>
                  </a:xfrm>
                  <a:prstGeom prst="rect">
                    <a:avLst/>
                  </a:prstGeom>
                  <a:noFill/>
                  <a:ln w="9525">
                    <a:noFill/>
                    <a:miter lim="800000"/>
                    <a:headEnd/>
                    <a:tailEnd/>
                  </a:ln>
                </pic:spPr>
              </pic:pic>
            </a:graphicData>
          </a:graphic>
        </wp:inline>
      </w:drawing>
    </w:r>
    <w:r>
      <w:rPr>
        <w:rFonts w:hint="eastAsia" w:ascii="微软雅黑" w:hAnsi="微软雅黑" w:eastAsia="微软雅黑"/>
        <w:kern w:val="0"/>
        <w:sz w:val="24"/>
        <w:szCs w:val="24"/>
        <w:u w:val="single"/>
        <w:lang w:eastAsia="zh-CN"/>
      </w:rPr>
      <w:t>长生树</w:t>
    </w:r>
    <w:r>
      <w:rPr>
        <w:rFonts w:hint="eastAsia" w:ascii="微软雅黑" w:hAnsi="微软雅黑" w:eastAsia="微软雅黑"/>
        <w:kern w:val="0"/>
        <w:sz w:val="24"/>
        <w:szCs w:val="24"/>
        <w:u w:val="single"/>
        <w:lang w:val="en-US" w:eastAsia="zh-CN"/>
      </w:rPr>
      <w:t>HPV</w:t>
    </w:r>
    <w:r>
      <w:rPr>
        <w:rFonts w:hint="eastAsia" w:ascii="微软雅黑" w:hAnsi="微软雅黑" w:eastAsia="微软雅黑"/>
        <w:kern w:val="0"/>
        <w:sz w:val="24"/>
        <w:szCs w:val="24"/>
        <w:u w:val="single"/>
      </w:rPr>
      <w:t>基因检测</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1C1675"/>
    <w:multiLevelType w:val="multilevel"/>
    <w:tmpl w:val="111C1675"/>
    <w:lvl w:ilvl="0" w:tentative="0">
      <w:start w:val="1"/>
      <w:numFmt w:val="decimal"/>
      <w:lvlText w:val="[%1]"/>
      <w:lvlJc w:val="left"/>
      <w:pPr>
        <w:ind w:left="360" w:hanging="36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20A5165A"/>
    <w:multiLevelType w:val="multilevel"/>
    <w:tmpl w:val="20A5165A"/>
    <w:lvl w:ilvl="0" w:tentative="0">
      <w:start w:val="1"/>
      <w:numFmt w:val="decimal"/>
      <w:lvlText w:val="[%1]"/>
      <w:lvlJc w:val="left"/>
      <w:pPr>
        <w:ind w:left="360" w:hanging="36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2CC3020F"/>
    <w:multiLevelType w:val="multilevel"/>
    <w:tmpl w:val="2CC3020F"/>
    <w:lvl w:ilvl="0" w:tentative="0">
      <w:start w:val="1"/>
      <w:numFmt w:val="decimal"/>
      <w:lvlText w:val="%1."/>
      <w:lvlJc w:val="left"/>
      <w:pPr>
        <w:ind w:left="375" w:hanging="375"/>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7CB73F88"/>
    <w:multiLevelType w:val="multilevel"/>
    <w:tmpl w:val="7CB73F88"/>
    <w:lvl w:ilvl="0" w:tentative="0">
      <w:start w:val="1"/>
      <w:numFmt w:val="japaneseCounting"/>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trackRevisions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0527"/>
    <w:rsid w:val="00006A69"/>
    <w:rsid w:val="0001342E"/>
    <w:rsid w:val="00021C39"/>
    <w:rsid w:val="000369C0"/>
    <w:rsid w:val="00050145"/>
    <w:rsid w:val="00052E5A"/>
    <w:rsid w:val="000758F3"/>
    <w:rsid w:val="000A15AF"/>
    <w:rsid w:val="000C3A0A"/>
    <w:rsid w:val="000E543F"/>
    <w:rsid w:val="000F2968"/>
    <w:rsid w:val="0013557C"/>
    <w:rsid w:val="00170217"/>
    <w:rsid w:val="00182DA4"/>
    <w:rsid w:val="0019055E"/>
    <w:rsid w:val="001A2B31"/>
    <w:rsid w:val="001A422B"/>
    <w:rsid w:val="001C2549"/>
    <w:rsid w:val="001C4ECA"/>
    <w:rsid w:val="001F6661"/>
    <w:rsid w:val="00221872"/>
    <w:rsid w:val="00221917"/>
    <w:rsid w:val="0023617A"/>
    <w:rsid w:val="00237502"/>
    <w:rsid w:val="00237A25"/>
    <w:rsid w:val="00241E4D"/>
    <w:rsid w:val="00277431"/>
    <w:rsid w:val="00294474"/>
    <w:rsid w:val="002972C0"/>
    <w:rsid w:val="002A1144"/>
    <w:rsid w:val="002C2DE8"/>
    <w:rsid w:val="002D387F"/>
    <w:rsid w:val="002F771A"/>
    <w:rsid w:val="00314CA5"/>
    <w:rsid w:val="00336793"/>
    <w:rsid w:val="00346536"/>
    <w:rsid w:val="00346B4D"/>
    <w:rsid w:val="003628C9"/>
    <w:rsid w:val="0037549E"/>
    <w:rsid w:val="003C4F86"/>
    <w:rsid w:val="003C509D"/>
    <w:rsid w:val="003D1190"/>
    <w:rsid w:val="003F54AD"/>
    <w:rsid w:val="00433A5E"/>
    <w:rsid w:val="00466454"/>
    <w:rsid w:val="00494DF6"/>
    <w:rsid w:val="004D1452"/>
    <w:rsid w:val="005005B5"/>
    <w:rsid w:val="00506700"/>
    <w:rsid w:val="00515837"/>
    <w:rsid w:val="00515EA0"/>
    <w:rsid w:val="005417E0"/>
    <w:rsid w:val="00550349"/>
    <w:rsid w:val="005542DD"/>
    <w:rsid w:val="0056301B"/>
    <w:rsid w:val="00571694"/>
    <w:rsid w:val="005A52CC"/>
    <w:rsid w:val="005C641F"/>
    <w:rsid w:val="005E03A4"/>
    <w:rsid w:val="005E0E81"/>
    <w:rsid w:val="00612CCB"/>
    <w:rsid w:val="00626382"/>
    <w:rsid w:val="006359E3"/>
    <w:rsid w:val="00640A6B"/>
    <w:rsid w:val="00642244"/>
    <w:rsid w:val="0066131E"/>
    <w:rsid w:val="0066286A"/>
    <w:rsid w:val="00665B67"/>
    <w:rsid w:val="006D7007"/>
    <w:rsid w:val="006E26DF"/>
    <w:rsid w:val="00723C47"/>
    <w:rsid w:val="0074162B"/>
    <w:rsid w:val="007628ED"/>
    <w:rsid w:val="00770FBC"/>
    <w:rsid w:val="00775D2B"/>
    <w:rsid w:val="00791BF7"/>
    <w:rsid w:val="007A5F86"/>
    <w:rsid w:val="007D18C3"/>
    <w:rsid w:val="007D24AF"/>
    <w:rsid w:val="007E0D4F"/>
    <w:rsid w:val="007E4A5D"/>
    <w:rsid w:val="00801103"/>
    <w:rsid w:val="0080252B"/>
    <w:rsid w:val="00821F96"/>
    <w:rsid w:val="008242B7"/>
    <w:rsid w:val="008272C4"/>
    <w:rsid w:val="008519EC"/>
    <w:rsid w:val="00853712"/>
    <w:rsid w:val="008573CE"/>
    <w:rsid w:val="00872535"/>
    <w:rsid w:val="0087434A"/>
    <w:rsid w:val="00880F6D"/>
    <w:rsid w:val="008A1EEC"/>
    <w:rsid w:val="008B462A"/>
    <w:rsid w:val="008C1259"/>
    <w:rsid w:val="008C7351"/>
    <w:rsid w:val="008F41DA"/>
    <w:rsid w:val="008F774D"/>
    <w:rsid w:val="0095447A"/>
    <w:rsid w:val="00975812"/>
    <w:rsid w:val="00995FC4"/>
    <w:rsid w:val="009A7407"/>
    <w:rsid w:val="009B7651"/>
    <w:rsid w:val="009C3786"/>
    <w:rsid w:val="009D6FCB"/>
    <w:rsid w:val="009E4C10"/>
    <w:rsid w:val="00A10A1F"/>
    <w:rsid w:val="00A17D97"/>
    <w:rsid w:val="00A233CB"/>
    <w:rsid w:val="00A55138"/>
    <w:rsid w:val="00A56ACF"/>
    <w:rsid w:val="00A70684"/>
    <w:rsid w:val="00AB4B8A"/>
    <w:rsid w:val="00AB6978"/>
    <w:rsid w:val="00AD00F4"/>
    <w:rsid w:val="00AD1AE6"/>
    <w:rsid w:val="00AD1CFD"/>
    <w:rsid w:val="00AD75B1"/>
    <w:rsid w:val="00AD7F54"/>
    <w:rsid w:val="00AF1788"/>
    <w:rsid w:val="00B10631"/>
    <w:rsid w:val="00B41D20"/>
    <w:rsid w:val="00B63A25"/>
    <w:rsid w:val="00B80407"/>
    <w:rsid w:val="00B80B79"/>
    <w:rsid w:val="00B82EC3"/>
    <w:rsid w:val="00BA317B"/>
    <w:rsid w:val="00BA5D1A"/>
    <w:rsid w:val="00BB2111"/>
    <w:rsid w:val="00BB3037"/>
    <w:rsid w:val="00BD18C7"/>
    <w:rsid w:val="00BE2A23"/>
    <w:rsid w:val="00BE7324"/>
    <w:rsid w:val="00C07A2B"/>
    <w:rsid w:val="00C10222"/>
    <w:rsid w:val="00C10653"/>
    <w:rsid w:val="00C20D88"/>
    <w:rsid w:val="00C37D08"/>
    <w:rsid w:val="00C85EEA"/>
    <w:rsid w:val="00CA2119"/>
    <w:rsid w:val="00CA78C2"/>
    <w:rsid w:val="00CA7F79"/>
    <w:rsid w:val="00CC1855"/>
    <w:rsid w:val="00CD28AB"/>
    <w:rsid w:val="00D1000A"/>
    <w:rsid w:val="00D20995"/>
    <w:rsid w:val="00D308D6"/>
    <w:rsid w:val="00D32A71"/>
    <w:rsid w:val="00D53AA7"/>
    <w:rsid w:val="00D564EE"/>
    <w:rsid w:val="00D64AB9"/>
    <w:rsid w:val="00D6509C"/>
    <w:rsid w:val="00D66727"/>
    <w:rsid w:val="00D95F3F"/>
    <w:rsid w:val="00DA1728"/>
    <w:rsid w:val="00DC4287"/>
    <w:rsid w:val="00DC7E34"/>
    <w:rsid w:val="00E16464"/>
    <w:rsid w:val="00E3021D"/>
    <w:rsid w:val="00E377EF"/>
    <w:rsid w:val="00E54BEF"/>
    <w:rsid w:val="00E80068"/>
    <w:rsid w:val="00EB4D44"/>
    <w:rsid w:val="00EB7755"/>
    <w:rsid w:val="00EC045F"/>
    <w:rsid w:val="00EE3863"/>
    <w:rsid w:val="00EF64F4"/>
    <w:rsid w:val="00F0555B"/>
    <w:rsid w:val="00F05DB9"/>
    <w:rsid w:val="00F12C40"/>
    <w:rsid w:val="00F248DF"/>
    <w:rsid w:val="00F2599F"/>
    <w:rsid w:val="00F4596A"/>
    <w:rsid w:val="00F55C5B"/>
    <w:rsid w:val="00F60527"/>
    <w:rsid w:val="00F73893"/>
    <w:rsid w:val="00F82532"/>
    <w:rsid w:val="00F85548"/>
    <w:rsid w:val="00FD0D2E"/>
    <w:rsid w:val="02C54688"/>
    <w:rsid w:val="0D013AD9"/>
    <w:rsid w:val="0DCE46D3"/>
    <w:rsid w:val="3730639A"/>
    <w:rsid w:val="3F6C7A69"/>
    <w:rsid w:val="599448FA"/>
    <w:rsid w:val="694F0AC8"/>
    <w:rsid w:val="75EA1BF6"/>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unhideWhenUsed/>
    <w:uiPriority w:val="1"/>
  </w:style>
  <w:style w:type="table" w:default="1" w:styleId="10">
    <w:name w:val="Normal Table"/>
    <w:unhideWhenUsed/>
    <w:qFormat/>
    <w:uiPriority w:val="99"/>
    <w:tblPr>
      <w:tblLayout w:type="fixed"/>
      <w:tblCellMar>
        <w:top w:w="0" w:type="dxa"/>
        <w:left w:w="108" w:type="dxa"/>
        <w:bottom w:w="0" w:type="dxa"/>
        <w:right w:w="108" w:type="dxa"/>
      </w:tblCellMar>
    </w:tblPr>
  </w:style>
  <w:style w:type="paragraph" w:styleId="2">
    <w:name w:val="annotation subject"/>
    <w:basedOn w:val="3"/>
    <w:next w:val="3"/>
    <w:link w:val="18"/>
    <w:unhideWhenUsed/>
    <w:uiPriority w:val="99"/>
    <w:rPr>
      <w:b/>
      <w:bCs/>
    </w:rPr>
  </w:style>
  <w:style w:type="paragraph" w:styleId="3">
    <w:name w:val="annotation text"/>
    <w:basedOn w:val="1"/>
    <w:link w:val="17"/>
    <w:unhideWhenUsed/>
    <w:qFormat/>
    <w:uiPriority w:val="99"/>
    <w:pPr>
      <w:jc w:val="left"/>
    </w:pPr>
  </w:style>
  <w:style w:type="paragraph" w:styleId="4">
    <w:name w:val="Balloon Text"/>
    <w:basedOn w:val="1"/>
    <w:link w:val="13"/>
    <w:unhideWhenUsed/>
    <w:uiPriority w:val="99"/>
    <w:rPr>
      <w:sz w:val="18"/>
      <w:szCs w:val="18"/>
    </w:rPr>
  </w:style>
  <w:style w:type="paragraph" w:styleId="5">
    <w:name w:val="footer"/>
    <w:basedOn w:val="1"/>
    <w:link w:val="15"/>
    <w:unhideWhenUsed/>
    <w:qFormat/>
    <w:uiPriority w:val="99"/>
    <w:pPr>
      <w:tabs>
        <w:tab w:val="center" w:pos="4153"/>
        <w:tab w:val="right" w:pos="8306"/>
      </w:tabs>
      <w:snapToGrid w:val="0"/>
      <w:jc w:val="left"/>
    </w:pPr>
    <w:rPr>
      <w:sz w:val="18"/>
      <w:szCs w:val="18"/>
    </w:rPr>
  </w:style>
  <w:style w:type="paragraph" w:styleId="6">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Hyperlink"/>
    <w:basedOn w:val="7"/>
    <w:unhideWhenUsed/>
    <w:qFormat/>
    <w:uiPriority w:val="99"/>
    <w:rPr>
      <w:color w:val="0000FF" w:themeColor="hyperlink"/>
      <w:u w:val="single"/>
      <w14:textFill>
        <w14:solidFill>
          <w14:schemeClr w14:val="hlink"/>
        </w14:solidFill>
      </w14:textFill>
    </w:rPr>
  </w:style>
  <w:style w:type="character" w:styleId="9">
    <w:name w:val="annotation reference"/>
    <w:basedOn w:val="7"/>
    <w:unhideWhenUsed/>
    <w:qFormat/>
    <w:uiPriority w:val="99"/>
    <w:rPr>
      <w:sz w:val="21"/>
      <w:szCs w:val="21"/>
    </w:rPr>
  </w:style>
  <w:style w:type="table" w:styleId="11">
    <w:name w:val="Table Grid"/>
    <w:basedOn w:val="10"/>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12">
    <w:name w:val="List Paragraph"/>
    <w:basedOn w:val="1"/>
    <w:qFormat/>
    <w:uiPriority w:val="34"/>
    <w:pPr>
      <w:ind w:firstLine="420" w:firstLineChars="200"/>
    </w:pPr>
  </w:style>
  <w:style w:type="character" w:customStyle="1" w:styleId="13">
    <w:name w:val="批注框文本 Char"/>
    <w:basedOn w:val="7"/>
    <w:link w:val="4"/>
    <w:semiHidden/>
    <w:qFormat/>
    <w:uiPriority w:val="99"/>
    <w:rPr>
      <w:sz w:val="18"/>
      <w:szCs w:val="18"/>
    </w:rPr>
  </w:style>
  <w:style w:type="character" w:customStyle="1" w:styleId="14">
    <w:name w:val="页眉 Char"/>
    <w:basedOn w:val="7"/>
    <w:link w:val="6"/>
    <w:qFormat/>
    <w:uiPriority w:val="99"/>
    <w:rPr>
      <w:sz w:val="18"/>
      <w:szCs w:val="18"/>
    </w:rPr>
  </w:style>
  <w:style w:type="character" w:customStyle="1" w:styleId="15">
    <w:name w:val="页脚 Char"/>
    <w:basedOn w:val="7"/>
    <w:link w:val="5"/>
    <w:qFormat/>
    <w:uiPriority w:val="99"/>
    <w:rPr>
      <w:sz w:val="18"/>
      <w:szCs w:val="18"/>
    </w:rPr>
  </w:style>
  <w:style w:type="paragraph" w:customStyle="1" w:styleId="16">
    <w:name w:val="列出段落1"/>
    <w:basedOn w:val="1"/>
    <w:qFormat/>
    <w:uiPriority w:val="34"/>
    <w:pPr>
      <w:ind w:firstLine="420" w:firstLineChars="200"/>
    </w:pPr>
    <w:rPr>
      <w:rFonts w:ascii="Calibri" w:hAnsi="Calibri" w:eastAsia="宋体" w:cs="Times New Roman"/>
    </w:rPr>
  </w:style>
  <w:style w:type="character" w:customStyle="1" w:styleId="17">
    <w:name w:val="批注文字 Char"/>
    <w:basedOn w:val="7"/>
    <w:link w:val="3"/>
    <w:semiHidden/>
    <w:qFormat/>
    <w:uiPriority w:val="99"/>
  </w:style>
  <w:style w:type="character" w:customStyle="1" w:styleId="18">
    <w:name w:val="批注主题 Char"/>
    <w:basedOn w:val="17"/>
    <w:link w:val="2"/>
    <w:semiHidden/>
    <w:qFormat/>
    <w:uiPriority w:val="99"/>
    <w:rPr>
      <w:b/>
      <w:bCs/>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bwMode="auto">
        <a:solidFill>
          <a:srgbClr val="FFFFFF"/>
        </a:solidFill>
        <a:ln w="9525">
          <a:solidFill>
            <a:srgbClr val="000000"/>
          </a:solidFill>
          <a:miter lim="800000"/>
        </a:ln>
      </a:spPr>
      <a:bodyPr rot="0" vert="eaVert" wrap="square" lIns="91440" tIns="45720" rIns="91440" bIns="45720" anchor="ctr" anchorCtr="0">
        <a:noAutofit/>
      </a:bodyPr>
      <a:lst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6DCDA04-5AB9-473D-8723-A9DDBFA68F3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2</Pages>
  <Words>263</Words>
  <Characters>1504</Characters>
  <Lines>12</Lines>
  <Paragraphs>3</Paragraphs>
  <ScaleCrop>false</ScaleCrop>
  <LinksUpToDate>false</LinksUpToDate>
  <CharactersWithSpaces>1764</CharactersWithSpaces>
  <Application>WPS Office_10.8.0.6370_F1E327BC-269C-435d-A152-05C5408002CA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2017-09-06T08:28:00Z</dcterms:created>
  <dc:creator>gaigong</dc:creator>
  <cp:lastModifiedBy>liuqing57</cp:lastModifiedBy>
  <cp:lastPrinted>2017-09-18T06:32:00Z</cp:lastPrinted>
  <dcterms:modified xsi:type="dcterms:W3CDTF">2018-10-11T06:58:19Z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2052-10.8.0.6370</vt:lpwstr>
  </property>
</Properties>
</file>