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Adopsi AI &amp; Digitalisasi UMKM Indonesia (2025–2026)</w:t>
      </w:r>
    </w:p>
    <w:p>
      <w:pPr>
        <w:pStyle w:val="Heading2"/>
      </w:pPr>
      <w:r>
        <w:t>Ringkasan Eksekutif</w:t>
      </w:r>
    </w:p>
    <w:p>
      <w:r>
        <w:t>Laporan singkat ini merangkum tingkat adopsi AI di kalangan bisnis Indonesia, implikasinya pada UMKM, infrastruktur pendukung, dan rekomendasi kebijakan untuk percepatan adopsi yang inklusif. Sumber data: AWS (2025), Microsoft WTI (2026), Digital in Asia (2026), KADIN (2025).</w:t>
      </w:r>
    </w:p>
    <w:p>
      <w:pPr>
        <w:pStyle w:val="Heading2"/>
      </w:pPr>
      <w:r>
        <w:t>Temuan</w:t>
      </w:r>
    </w:p>
    <w:p>
      <w:r>
        <w:t>1. Penetrasi awal: 28% bisnis telah mengadopsi AI pada pertengahan 2025, dengan pertumbuhan 47% YoY. Banyak implementasi bersifat dasar (otomasi &amp; efisiensi).</w:t>
      </w:r>
    </w:p>
    <w:p>
      <w:r>
        <w:t>2. Tenaga kerja dan keterampilan: 33% pekerja masuk kategori Frontier Professionals (pengguna AI tingkat lanjut), yang menunjukkan kesiapan penggunaan AI di sisi pekerja namun ada gap keterampilan untuk adopsi perusahaan yang lebih luas.</w:t>
      </w:r>
    </w:p>
    <w:p>
      <w:r>
        <w:t>3. Infrastruktur: proyek data‑centre skala besar (mis. Firmus 360MW di Batam, hingga ~170.000 GPU) dan pipeline investasi USD 15–20 milyar menandai percepatan kapasitas komputasi untuk AI di Indonesia.</w:t>
      </w:r>
    </w:p>
    <w:p>
      <w:pPr>
        <w:pStyle w:val="Heading2"/>
      </w:pPr>
      <w:r>
        <w:t>Rekomendasi</w:t>
      </w:r>
    </w:p>
    <w:p>
      <w:r>
        <w:t>1. Program pelatihan praktis AI untuk UMKM — modul singkat, toolkit pra‑konfigurasi (chatbot, analitik penjualan), dan pelatihan on‑the‑job.</w:t>
      </w:r>
    </w:p>
    <w:p>
      <w:r>
        <w:t>2. Insentif finansial untuk adopsi: voucher cloud, kredit implementasi, dan pendampingan teknis untuk usaha mikro dan kecil.</w:t>
      </w:r>
    </w:p>
    <w:p>
      <w:r>
        <w:t>3. Infrastruktur data &amp; akses: dukungan pembentukan data commons lokal, interoperabilitas dan standarisasi data untuk membantu UMKM memanfaatkan layanan AI.</w:t>
      </w:r>
    </w:p>
    <w:p>
      <w:pPr>
        <w:pStyle w:val="Heading2"/>
      </w:pPr>
      <w:r>
        <w:t>Sumber</w:t>
      </w:r>
    </w:p>
    <w:p>
      <w:r>
        <w:t>- AWS &amp; Strand Partners (Unlocking Indonesia's AI Potential, 2025) https://press.aboutamazon.com/sg/aws/2025/8/new-aws-research-shows-strong-ai-adoption-momentum-in-indonesia</w:t>
      </w:r>
    </w:p>
    <w:p>
      <w:r>
        <w:t>- Microsoft Work Trend Index 2026 https://assets-c4akfrf5b4d3f4b7.z01.azurefd.net/assets/2026/05/2026_Work_Trend_Index_Annual_Report_070726_6a4e59bd9c9c3.pdf</w:t>
      </w:r>
    </w:p>
    <w:p>
      <w:r>
        <w:t>- Digital in Asia: Indonesia AI Market (2026) https://digitalinasia.com/indonesia-ai-market</w:t>
      </w:r>
    </w:p>
    <w:p>
      <w:r>
        <w:t>- KADIN: UMKM Indonesia (2025) https://kadin.id/data-dan-statistik/umkm-indonesia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