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Calibri" w:cs="Calibri" w:eastAsia="Calibri" w:hAnsi="Calibri"/>
          <w:b/>
          <w:bCs/>
          <w:color w:val="2F5597"/>
          <w:sz w:val="48"/>
          <w:szCs w:val="48"/>
        </w:rPr>
        <w:t xml:space="preserve">Corporate Data Protection Strategy</w:t>
      </w:r>
    </w:p>
    <w:p>
      <w:pPr>
        <w:spacing w:after="240"/>
        <w:jc w:val="center"/>
      </w:pPr>
      <w:r>
        <w:rPr>
          <w:rFonts w:ascii="Calibri" w:cs="Calibri" w:eastAsia="Calibri" w:hAnsi="Calibri"/>
          <w:b/>
          <w:bCs/>
          <w:sz w:val="32"/>
          <w:szCs w:val="32"/>
        </w:rPr>
        <w:t xml:space="preserve">Windows 365 Cloud PCs on BYOD Devices</w:t>
      </w:r>
    </w:p>
    <w:p>
      <w:pPr>
        <w:spacing w:before="1440" w:after="240"/>
        <w:jc w:val="center"/>
      </w:pPr>
      <w:r>
        <w:rPr>
          <w:rFonts w:ascii="Calibri" w:cs="Calibri" w:eastAsia="Calibri" w:hAnsi="Calibri"/>
          <w:sz w:val="24"/>
          <w:szCs w:val="24"/>
        </w:rPr>
        <w:t xml:space="preserve">Security Controls and Implementation Guide</w:t>
      </w:r>
    </w:p>
    <w:p>
      <w:pPr>
        <w:spacing w:before="2880"/>
        <w:jc w:val="center"/>
      </w:pPr>
      <w:r>
        <w:rPr>
          <w:rFonts w:ascii="Calibri" w:cs="Calibri" w:eastAsia="Calibri" w:hAnsi="Calibri"/>
          <w:i/>
          <w:iCs/>
          <w:sz w:val="20"/>
          <w:szCs w:val="20"/>
        </w:rPr>
        <w:t xml:space="preserve">Document Version: 1.0 | 2/12/2026</w:t>
      </w:r>
    </w:p>
    <w:p>
      <w:r>
        <w:br w:type="page"/>
      </w:r>
    </w:p>
    <w:p>
      <w:pPr>
        <w:pStyle w:val="Heading1"/>
      </w:pPr>
      <w:r>
        <w:t xml:space="preserve">Table of Contents</w:t>
      </w:r>
    </w:p>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Pr>
          <w:p>
            <w:r>
              <w:rPr>
                <w:b/>
                <w:bCs/>
              </w:rPr>
              <w:t xml:space="preserve">1. Executive Summary</w:t>
            </w:r>
          </w:p>
        </w:tc>
        <w:tc>
          <w:tcPr>
            <w:tcW w:type="dxa" w:w="2360"/>
          </w:tcPr>
          <w:p>
            <w:pPr>
              <w:jc w:val="right"/>
            </w:pPr>
            <w:r>
              <w:t xml:space="preserve">3</w:t>
            </w:r>
          </w:p>
        </w:tc>
      </w:tr>
      <w:tr>
        <w:tc>
          <w:tcPr>
            <w:tcW w:type="dxa" w:w="7000"/>
          </w:tcPr>
          <w:p>
            <w:r>
              <w:t xml:space="preserve">2. BYOD Risk Assessment</w:t>
            </w:r>
          </w:p>
        </w:tc>
        <w:tc>
          <w:tcPr>
            <w:tcW w:type="dxa" w:w="2360"/>
          </w:tcPr>
          <w:p>
            <w:pPr>
              <w:jc w:val="right"/>
            </w:pPr>
            <w:r>
              <w:t xml:space="preserve">4</w:t>
            </w:r>
          </w:p>
        </w:tc>
      </w:tr>
      <w:tr>
        <w:tc>
          <w:tcPr>
            <w:tcW w:type="dxa" w:w="7000"/>
          </w:tcPr>
          <w:p>
            <w:r>
              <w:t xml:space="preserve">3. Platform-Specific Controls</w:t>
            </w:r>
          </w:p>
        </w:tc>
        <w:tc>
          <w:tcPr>
            <w:tcW w:type="dxa" w:w="2360"/>
          </w:tcPr>
          <w:p>
            <w:pPr>
              <w:jc w:val="right"/>
            </w:pPr>
            <w:r>
              <w:t xml:space="preserve">5</w:t>
            </w:r>
          </w:p>
        </w:tc>
      </w:tr>
      <w:tr>
        <w:tc>
          <w:tcPr>
            <w:tcW w:type="dxa" w:w="7000"/>
          </w:tcPr>
          <w:p>
            <w:r>
              <w:t xml:space="preserve">4. Windows 365 Security Controls</w:t>
            </w:r>
          </w:p>
        </w:tc>
        <w:tc>
          <w:tcPr>
            <w:tcW w:type="dxa" w:w="2360"/>
          </w:tcPr>
          <w:p>
            <w:pPr>
              <w:jc w:val="right"/>
            </w:pPr>
            <w:r>
              <w:t xml:space="preserve">7</w:t>
            </w:r>
          </w:p>
        </w:tc>
      </w:tr>
      <w:tr>
        <w:tc>
          <w:tcPr>
            <w:tcW w:type="dxa" w:w="7000"/>
          </w:tcPr>
          <w:p>
            <w:r>
              <w:t xml:space="preserve">5. Multi-Factor Authentication</w:t>
            </w:r>
          </w:p>
        </w:tc>
        <w:tc>
          <w:tcPr>
            <w:tcW w:type="dxa" w:w="2360"/>
          </w:tcPr>
          <w:p>
            <w:pPr>
              <w:jc w:val="right"/>
            </w:pPr>
            <w:r>
              <w:t xml:space="preserve">9</w:t>
            </w:r>
          </w:p>
        </w:tc>
      </w:tr>
      <w:tr>
        <w:tc>
          <w:tcPr>
            <w:tcW w:type="dxa" w:w="7000"/>
          </w:tcPr>
          <w:p>
            <w:r>
              <w:t xml:space="preserve">6. Implementation Procedures</w:t>
            </w:r>
          </w:p>
        </w:tc>
        <w:tc>
          <w:tcPr>
            <w:tcW w:type="dxa" w:w="2360"/>
          </w:tcPr>
          <w:p>
            <w:pPr>
              <w:jc w:val="right"/>
            </w:pPr>
            <w:r>
              <w:t xml:space="preserve">11</w:t>
            </w:r>
          </w:p>
        </w:tc>
      </w:tr>
      <w:tr>
        <w:tc>
          <w:tcPr>
            <w:tcW w:type="dxa" w:w="7000"/>
          </w:tcPr>
          <w:p>
            <w:r>
              <w:t xml:space="preserve">7. Monitoring and Compliance</w:t>
            </w:r>
          </w:p>
        </w:tc>
        <w:tc>
          <w:tcPr>
            <w:tcW w:type="dxa" w:w="2360"/>
          </w:tcPr>
          <w:p>
            <w:pPr>
              <w:jc w:val="right"/>
            </w:pPr>
            <w:r>
              <w:t xml:space="preserve">13</w:t>
            </w:r>
          </w:p>
        </w:tc>
      </w:tr>
      <w:tr>
        <w:tc>
          <w:tcPr>
            <w:tcW w:type="dxa" w:w="7000"/>
          </w:tcPr>
          <w:p>
            <w:r>
              <w:t xml:space="preserve">8. Risk Assessment Summary</w:t>
            </w:r>
          </w:p>
        </w:tc>
        <w:tc>
          <w:tcPr>
            <w:tcW w:type="dxa" w:w="2360"/>
          </w:tcPr>
          <w:p>
            <w:pPr>
              <w:jc w:val="right"/>
            </w:pPr>
            <w:r>
              <w:t xml:space="preserve">14</w:t>
            </w:r>
          </w:p>
        </w:tc>
      </w:tr>
    </w:tbl>
    <w:p>
      <w:r>
        <w:br w:type="page"/>
      </w:r>
    </w:p>
    <w:p>
      <w:pPr>
        <w:pStyle w:val="Heading1"/>
      </w:pPr>
      <w:r>
        <w:t xml:space="preserve">1. Executive Summary</w:t>
      </w:r>
    </w:p>
    <w:p>
      <w:r>
        <w:t xml:space="preserve">This document outlines the comprehensive data protection strategy implemented for Windows 365 Cloud PCs when accessed from Bring Your Own Device (BYOD) endpoints. This assessment has been prepared in response to the CISO Assurance team's evaluation of data transfer restrictions and security controls for unmanaged device access to the Equitable network via Windows 365.</w:t>
      </w:r>
    </w:p>
    <w:p>
      <w:pPr>
        <w:spacing w:before="240"/>
      </w:pPr>
      <w:r>
        <w:rPr>
          <w:b/>
          <w:bCs/>
        </w:rPr>
        <w:t xml:space="preserve">Assessment Purpose</w:t>
      </w:r>
    </w:p>
    <w:p>
      <w:r>
        <w:t xml:space="preserve">The CISO Assurance team has commenced an assurance assessment to determine whether unauthorized data exfiltration (intentional or accidental) is possible from the corporate Cloud PC to unmanaged personal devices, and whether current configurations, policies, and technical safeguards adequately reduce the risk of data leakage in line with Equitable's information security requirements.</w:t>
      </w:r>
    </w:p>
    <w:p>
      <w:pPr>
        <w:spacing w:before="240"/>
      </w:pPr>
      <w:r>
        <w:rPr>
          <w:b/>
          <w:bCs/>
        </w:rPr>
        <w:t xml:space="preserve">Assessment Scope</w:t>
      </w:r>
    </w:p>
    <w:p>
      <w:pPr>
        <w:pStyle w:val="ListParagraph"/>
        <w:numPr>
          <w:ilvl w:val="0"/>
          <w:numId w:val="2"/>
        </w:numPr>
      </w:pPr>
      <w:r>
        <w:t xml:space="preserve">Current configurations, policies and technical controls to reduce data transfer from Windows 365 to personal devices</w:t>
      </w:r>
    </w:p>
    <w:p>
      <w:pPr>
        <w:pStyle w:val="ListParagraph"/>
        <w:numPr>
          <w:ilvl w:val="0"/>
          <w:numId w:val="2"/>
        </w:numPr>
      </w:pPr>
      <w:r>
        <w:t xml:space="preserve">Security requirements for accessing a Windows 365 Cloud PC from a personal device</w:t>
      </w:r>
    </w:p>
    <w:p>
      <w:pPr>
        <w:spacing w:before="240"/>
      </w:pPr>
      <w:r>
        <w:rPr>
          <w:b/>
          <w:bCs/>
        </w:rPr>
        <w:t xml:space="preserve">Key Security Principles</w:t>
      </w:r>
    </w:p>
    <w:p>
      <w:pPr>
        <w:pStyle w:val="ListParagraph"/>
        <w:numPr>
          <w:ilvl w:val="0"/>
          <w:numId w:val="2"/>
        </w:numPr>
      </w:pPr>
      <w:r>
        <w:t xml:space="preserve">Zero Trust Architecture: Corporate data remains isolated within the cloud-based Windows 365 environment</w:t>
      </w:r>
    </w:p>
    <w:p>
      <w:pPr>
        <w:pStyle w:val="ListParagraph"/>
        <w:numPr>
          <w:ilvl w:val="0"/>
          <w:numId w:val="2"/>
        </w:numPr>
      </w:pPr>
      <w:r>
        <w:t xml:space="preserve">Device Isolation: Complete restriction of data flow between BYOD devices and Cloud PCs</w:t>
      </w:r>
    </w:p>
    <w:p>
      <w:pPr>
        <w:pStyle w:val="ListParagraph"/>
        <w:numPr>
          <w:ilvl w:val="0"/>
          <w:numId w:val="2"/>
        </w:numPr>
      </w:pPr>
      <w:r>
        <w:t xml:space="preserve">Continuous Authentication: Time-based multi-factor authentication with hourly verification</w:t>
      </w:r>
    </w:p>
    <w:p>
      <w:pPr>
        <w:pStyle w:val="ListParagraph"/>
        <w:numPr>
          <w:ilvl w:val="0"/>
          <w:numId w:val="2"/>
        </w:numPr>
      </w:pPr>
      <w:r>
        <w:t xml:space="preserve">Platform-Differentiated Controls: Tailored security policies based on device operating system capabilities</w:t>
      </w:r>
    </w:p>
    <w:p>
      <w:pPr>
        <w:spacing w:before="240"/>
      </w:pPr>
      <w:r>
        <w:rPr>
          <w:b/>
          <w:bCs/>
        </w:rPr>
        <w:t xml:space="preserve">Implementation Overview</w:t>
      </w:r>
    </w:p>
    <w:p>
      <w:r>
        <w:t xml:space="preserve">Our approach recognizes the varying levels of control available across different BYOD platforms. While iOS and Android devices can be enrolled in Microsoft Intune for comprehensive compliance monitoring, Windows BYOD devices require alternative security measures due to organizational policy restrictions on device enrollment.</w:t>
      </w:r>
    </w:p>
    <w:p>
      <w:pPr>
        <w:pStyle w:val="Heading1"/>
      </w:pPr>
      <w:r>
        <w:t xml:space="preserve">2. BYOD Risk Assessment</w:t>
      </w:r>
    </w:p>
    <w:p>
      <w:r>
        <w:t xml:space="preserve">Accessing corporate resources from personal devices introduces several security risks that must be systematically addressed through layered controls.</w:t>
      </w:r>
    </w:p>
    <w:p>
      <w:pPr>
        <w:pStyle w:val="Heading2"/>
      </w:pPr>
      <w:r>
        <w:t xml:space="preserve">2.1 Primary Risk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shd w:fill="D5E8F0" w:val="clear"/>
            <w:tcMar>
              <w:top w:type="dxa" w:w="80"/>
              <w:left w:type="dxa" w:w="120"/>
              <w:bottom w:type="dxa" w:w="80"/>
              <w:right w:type="dxa" w:w="120"/>
            </w:tcMar>
          </w:tcPr>
          <w:p>
            <w:r>
              <w:rPr>
                <w:b/>
                <w:bCs/>
              </w:rPr>
              <w:t xml:space="preserve">Risk Category</w:t>
            </w:r>
          </w:p>
        </w:tc>
        <w:tc>
          <w:tcPr>
            <w:tcW w:type="dxa" w:w="3200"/>
            <w:shd w:fill="D5E8F0" w:val="clear"/>
            <w:tcMar>
              <w:top w:type="dxa" w:w="80"/>
              <w:left w:type="dxa" w:w="120"/>
              <w:bottom w:type="dxa" w:w="80"/>
              <w:right w:type="dxa" w:w="120"/>
            </w:tcMar>
          </w:tcPr>
          <w:p>
            <w:r>
              <w:rPr>
                <w:b/>
                <w:bCs/>
              </w:rPr>
              <w:t xml:space="preserve">Description</w:t>
            </w:r>
          </w:p>
        </w:tc>
        <w:tc>
          <w:tcPr>
            <w:tcW w:type="dxa" w:w="3360"/>
            <w:shd w:fill="D5E8F0" w:val="clear"/>
            <w:tcMar>
              <w:top w:type="dxa" w:w="80"/>
              <w:left w:type="dxa" w:w="120"/>
              <w:bottom w:type="dxa" w:w="80"/>
              <w:right w:type="dxa" w:w="120"/>
            </w:tcMar>
          </w:tcPr>
          <w:p>
            <w:r>
              <w:rPr>
                <w:b/>
                <w:bCs/>
              </w:rPr>
              <w:t xml:space="preserve">Mitigation Strategy</w:t>
            </w:r>
          </w:p>
        </w:tc>
      </w:tr>
      <w:tr>
        <w:tc>
          <w:tcPr>
            <w:tcW w:type="dxa" w:w="2800"/>
            <w:tcMar>
              <w:top w:type="dxa" w:w="80"/>
              <w:left w:type="dxa" w:w="120"/>
              <w:bottom w:type="dxa" w:w="80"/>
              <w:right w:type="dxa" w:w="120"/>
            </w:tcMar>
          </w:tcPr>
          <w:p>
            <w:r>
              <w:t xml:space="preserve">Data Exfiltration</w:t>
            </w:r>
          </w:p>
        </w:tc>
        <w:tc>
          <w:tcPr>
            <w:tcW w:type="dxa" w:w="3200"/>
            <w:tcMar>
              <w:top w:type="dxa" w:w="80"/>
              <w:left w:type="dxa" w:w="120"/>
              <w:bottom w:type="dxa" w:w="80"/>
              <w:right w:type="dxa" w:w="120"/>
            </w:tcMar>
          </w:tcPr>
          <w:p>
            <w:r>
              <w:t xml:space="preserve">Unauthorized transfer of corporate data to personal device storage</w:t>
            </w:r>
          </w:p>
        </w:tc>
        <w:tc>
          <w:tcPr>
            <w:tcW w:type="dxa" w:w="3360"/>
            <w:tcMar>
              <w:top w:type="dxa" w:w="80"/>
              <w:left w:type="dxa" w:w="120"/>
              <w:bottom w:type="dxa" w:w="80"/>
              <w:right w:type="dxa" w:w="120"/>
            </w:tcMar>
          </w:tcPr>
          <w:p>
            <w:r>
              <w:t xml:space="preserve">Complete redirection restrictions and session isolation</w:t>
            </w:r>
          </w:p>
        </w:tc>
      </w:tr>
      <w:tr>
        <w:tc>
          <w:tcPr>
            <w:tcW w:type="dxa" w:w="2800"/>
            <w:tcMar>
              <w:top w:type="dxa" w:w="80"/>
              <w:left w:type="dxa" w:w="120"/>
              <w:bottom w:type="dxa" w:w="80"/>
              <w:right w:type="dxa" w:w="120"/>
            </w:tcMar>
          </w:tcPr>
          <w:p>
            <w:r>
              <w:t xml:space="preserve">Compromised Endpoints</w:t>
            </w:r>
          </w:p>
        </w:tc>
        <w:tc>
          <w:tcPr>
            <w:tcW w:type="dxa" w:w="3200"/>
            <w:tcMar>
              <w:top w:type="dxa" w:w="80"/>
              <w:left w:type="dxa" w:w="120"/>
              <w:bottom w:type="dxa" w:w="80"/>
              <w:right w:type="dxa" w:w="120"/>
            </w:tcMar>
          </w:tcPr>
          <w:p>
            <w:r>
              <w:t xml:space="preserve">Malware or unauthorized software on personal devices</w:t>
            </w:r>
          </w:p>
        </w:tc>
        <w:tc>
          <w:tcPr>
            <w:tcW w:type="dxa" w:w="3360"/>
            <w:tcMar>
              <w:top w:type="dxa" w:w="80"/>
              <w:left w:type="dxa" w:w="120"/>
              <w:bottom w:type="dxa" w:w="80"/>
              <w:right w:type="dxa" w:w="120"/>
            </w:tcMar>
          </w:tcPr>
          <w:p>
            <w:r>
              <w:t xml:space="preserve">Device compliance policies and continuous authentication</w:t>
            </w:r>
          </w:p>
        </w:tc>
      </w:tr>
      <w:tr>
        <w:tc>
          <w:tcPr>
            <w:tcW w:type="dxa" w:w="2800"/>
            <w:tcMar>
              <w:top w:type="dxa" w:w="80"/>
              <w:left w:type="dxa" w:w="120"/>
              <w:bottom w:type="dxa" w:w="80"/>
              <w:right w:type="dxa" w:w="120"/>
            </w:tcMar>
          </w:tcPr>
          <w:p>
            <w:r>
              <w:t xml:space="preserve">Session Hijacking</w:t>
            </w:r>
          </w:p>
        </w:tc>
        <w:tc>
          <w:tcPr>
            <w:tcW w:type="dxa" w:w="3200"/>
            <w:tcMar>
              <w:top w:type="dxa" w:w="80"/>
              <w:left w:type="dxa" w:w="120"/>
              <w:bottom w:type="dxa" w:w="80"/>
              <w:right w:type="dxa" w:w="120"/>
            </w:tcMar>
          </w:tcPr>
          <w:p>
            <w:r>
              <w:t xml:space="preserve">Unauthorized access through compromised authentication tokens</w:t>
            </w:r>
          </w:p>
        </w:tc>
        <w:tc>
          <w:tcPr>
            <w:tcW w:type="dxa" w:w="3360"/>
            <w:tcMar>
              <w:top w:type="dxa" w:w="80"/>
              <w:left w:type="dxa" w:w="120"/>
              <w:bottom w:type="dxa" w:w="80"/>
              <w:right w:type="dxa" w:w="120"/>
            </w:tcMar>
          </w:tcPr>
          <w:p>
            <w:r>
              <w:t xml:space="preserve">Frequent re-authentication and session timeout controls</w:t>
            </w:r>
          </w:p>
        </w:tc>
      </w:tr>
      <w:tr>
        <w:tc>
          <w:tcPr>
            <w:tcW w:type="dxa" w:w="2800"/>
            <w:tcMar>
              <w:top w:type="dxa" w:w="80"/>
              <w:left w:type="dxa" w:w="120"/>
              <w:bottom w:type="dxa" w:w="80"/>
              <w:right w:type="dxa" w:w="120"/>
            </w:tcMar>
          </w:tcPr>
          <w:p>
            <w:r>
              <w:t xml:space="preserve">Physical Access</w:t>
            </w:r>
          </w:p>
        </w:tc>
        <w:tc>
          <w:tcPr>
            <w:tcW w:type="dxa" w:w="3200"/>
            <w:tcMar>
              <w:top w:type="dxa" w:w="80"/>
              <w:left w:type="dxa" w:w="120"/>
              <w:bottom w:type="dxa" w:w="80"/>
              <w:right w:type="dxa" w:w="120"/>
            </w:tcMar>
          </w:tcPr>
          <w:p>
            <w:r>
              <w:t xml:space="preserve">Unauthorized individuals gaining access to unlocked devices</w:t>
            </w:r>
          </w:p>
        </w:tc>
        <w:tc>
          <w:tcPr>
            <w:tcW w:type="dxa" w:w="3360"/>
            <w:tcMar>
              <w:top w:type="dxa" w:w="80"/>
              <w:left w:type="dxa" w:w="120"/>
              <w:bottom w:type="dxa" w:w="80"/>
              <w:right w:type="dxa" w:w="120"/>
            </w:tcMar>
          </w:tcPr>
          <w:p>
            <w:r>
              <w:t xml:space="preserve">Automatic session timeouts and multi-factor authentication</w:t>
            </w:r>
          </w:p>
        </w:tc>
      </w:tr>
    </w:tbl>
    <w:p>
      <w:pPr>
        <w:pStyle w:val="Heading2"/>
      </w:pPr>
      <w:r>
        <w:t xml:space="preserve">2.2 Platform-Specific Considerations</w:t>
      </w:r>
    </w:p>
    <w:p>
      <w:r>
        <w:t xml:space="preserve">Different BYOD platforms present varying levels of security control and risk exposure, requiring tailored approaches for each environment.</w:t>
      </w:r>
    </w:p>
    <w:p>
      <w:pPr>
        <w:pStyle w:val="Heading1"/>
      </w:pPr>
      <w:r>
        <w:t xml:space="preserve">3. Platform-Specific Controls</w:t>
      </w:r>
    </w:p>
    <w:p>
      <w:pPr>
        <w:pStyle w:val="Heading2"/>
      </w:pPr>
      <w:r>
        <w:t xml:space="preserve">3.1 iOS and Android Devices</w:t>
      </w:r>
    </w:p>
    <w:p>
      <w:r>
        <w:t xml:space="preserve">Mobile platforms benefit from comprehensive device management capabilities through Microsoft Intune enrollment, enabling robust security policy enforcement.</w:t>
      </w:r>
    </w:p>
    <w:p>
      <w:pPr>
        <w:pStyle w:val="Heading3"/>
      </w:pPr>
      <w:r>
        <w:t xml:space="preserve">3.1.1 Mandatory Device Enrollment</w:t>
      </w:r>
    </w:p>
    <w:p>
      <w:r>
        <w:t xml:space="preserve">All iOS and Android devices must be enrolled in Microsoft Intune before corporate account access is permitted. This enrollment process establishes the foundation for comprehensive security policy enforcement.</w:t>
      </w:r>
    </w:p>
    <w:p>
      <w:pPr>
        <w:spacing w:before="240"/>
      </w:pPr>
      <w:r>
        <w:rPr>
          <w:b/>
          <w:bCs/>
        </w:rPr>
        <w:t xml:space="preserve">Enrollment Requirements:</w:t>
      </w:r>
    </w:p>
    <w:p>
      <w:pPr>
        <w:pStyle w:val="ListParagraph"/>
        <w:numPr>
          <w:ilvl w:val="0"/>
          <w:numId w:val="2"/>
        </w:numPr>
      </w:pPr>
      <w:r>
        <w:t xml:space="preserve">Device must be running supported iOS (15.0+) or Android (8.0+) versions</w:t>
      </w:r>
    </w:p>
    <w:p>
      <w:pPr>
        <w:pStyle w:val="ListParagraph"/>
        <w:numPr>
          <w:ilvl w:val="0"/>
          <w:numId w:val="2"/>
        </w:numPr>
      </w:pPr>
      <w:r>
        <w:t xml:space="preserve">User must authenticate with corporate credentials during enrollment</w:t>
      </w:r>
    </w:p>
    <w:p>
      <w:pPr>
        <w:pStyle w:val="ListParagraph"/>
        <w:numPr>
          <w:ilvl w:val="0"/>
          <w:numId w:val="2"/>
        </w:numPr>
      </w:pPr>
      <w:r>
        <w:t xml:space="preserve">Microsoft Authenticator app installation and configuration required</w:t>
      </w:r>
    </w:p>
    <w:p>
      <w:pPr>
        <w:pStyle w:val="ListParagraph"/>
        <w:numPr>
          <w:ilvl w:val="0"/>
          <w:numId w:val="2"/>
        </w:numPr>
      </w:pPr>
      <w:r>
        <w:t xml:space="preserve">Acceptance of corporate mobile device management policies</w:t>
      </w:r>
    </w:p>
    <w:p>
      <w:pPr>
        <w:pStyle w:val="Heading3"/>
      </w:pPr>
      <w:r>
        <w:t xml:space="preserve">3.1.2 Compliance Policy Enforcement</w:t>
      </w:r>
    </w:p>
    <w:p>
      <w:r>
        <w:t xml:space="preserve">Intune compliance policies continuously monitor device security posture and enforce corporate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Policy Area</w:t>
            </w:r>
          </w:p>
        </w:tc>
        <w:tc>
          <w:tcPr>
            <w:tcW w:type="dxa" w:w="6240"/>
            <w:shd w:fill="D5E8F0" w:val="clear"/>
            <w:tcMar>
              <w:top w:type="dxa" w:w="80"/>
              <w:left w:type="dxa" w:w="120"/>
              <w:bottom w:type="dxa" w:w="80"/>
              <w:right w:type="dxa" w:w="120"/>
            </w:tcMar>
          </w:tcPr>
          <w:p>
            <w:r>
              <w:rPr>
                <w:b/>
                <w:bCs/>
              </w:rPr>
              <w:t xml:space="preserve">Requirements</w:t>
            </w:r>
          </w:p>
        </w:tc>
      </w:tr>
      <w:tr>
        <w:tc>
          <w:tcPr>
            <w:tcW w:type="dxa" w:w="3120"/>
            <w:tcMar>
              <w:top w:type="dxa" w:w="80"/>
              <w:left w:type="dxa" w:w="120"/>
              <w:bottom w:type="dxa" w:w="80"/>
              <w:right w:type="dxa" w:w="120"/>
            </w:tcMar>
          </w:tcPr>
          <w:p>
            <w:r>
              <w:t xml:space="preserve">Operating System</w:t>
            </w:r>
          </w:p>
        </w:tc>
        <w:tc>
          <w:tcPr>
            <w:tcW w:type="dxa" w:w="6240"/>
            <w:tcMar>
              <w:top w:type="dxa" w:w="80"/>
              <w:left w:type="dxa" w:w="120"/>
              <w:bottom w:type="dxa" w:w="80"/>
              <w:right w:type="dxa" w:w="120"/>
            </w:tcMar>
          </w:tcPr>
          <w:p>
            <w:r>
              <w:t xml:space="preserve">Minimum OS version, automatic updates enabled, security patches current</w:t>
            </w:r>
          </w:p>
        </w:tc>
      </w:tr>
      <w:tr>
        <w:tc>
          <w:tcPr>
            <w:tcW w:type="dxa" w:w="3120"/>
            <w:tcMar>
              <w:top w:type="dxa" w:w="80"/>
              <w:left w:type="dxa" w:w="120"/>
              <w:bottom w:type="dxa" w:w="80"/>
              <w:right w:type="dxa" w:w="120"/>
            </w:tcMar>
          </w:tcPr>
          <w:p>
            <w:r>
              <w:t xml:space="preserve">Device Security</w:t>
            </w:r>
          </w:p>
        </w:tc>
        <w:tc>
          <w:tcPr>
            <w:tcW w:type="dxa" w:w="6240"/>
            <w:tcMar>
              <w:top w:type="dxa" w:w="80"/>
              <w:left w:type="dxa" w:w="120"/>
              <w:bottom w:type="dxa" w:w="80"/>
              <w:right w:type="dxa" w:w="120"/>
            </w:tcMar>
          </w:tcPr>
          <w:p>
            <w:r>
              <w:t xml:space="preserve">Screen lock enabled, biometric authentication preferred, encryption required</w:t>
            </w:r>
          </w:p>
        </w:tc>
      </w:tr>
      <w:tr>
        <w:tc>
          <w:tcPr>
            <w:tcW w:type="dxa" w:w="3120"/>
            <w:tcMar>
              <w:top w:type="dxa" w:w="80"/>
              <w:left w:type="dxa" w:w="120"/>
              <w:bottom w:type="dxa" w:w="80"/>
              <w:right w:type="dxa" w:w="120"/>
            </w:tcMar>
          </w:tcPr>
          <w:p>
            <w:r>
              <w:t xml:space="preserve">Jailbreak/Root Detection</w:t>
            </w:r>
          </w:p>
        </w:tc>
        <w:tc>
          <w:tcPr>
            <w:tcW w:type="dxa" w:w="6240"/>
            <w:tcMar>
              <w:top w:type="dxa" w:w="80"/>
              <w:left w:type="dxa" w:w="120"/>
              <w:bottom w:type="dxa" w:w="80"/>
              <w:right w:type="dxa" w:w="120"/>
            </w:tcMar>
          </w:tcPr>
          <w:p>
            <w:r>
              <w:t xml:space="preserve">Devices must not be jailbroken (iOS) or rooted (Android)</w:t>
            </w:r>
          </w:p>
        </w:tc>
      </w:tr>
      <w:tr>
        <w:tc>
          <w:tcPr>
            <w:tcW w:type="dxa" w:w="3120"/>
            <w:tcMar>
              <w:top w:type="dxa" w:w="80"/>
              <w:left w:type="dxa" w:w="120"/>
              <w:bottom w:type="dxa" w:w="80"/>
              <w:right w:type="dxa" w:w="120"/>
            </w:tcMar>
          </w:tcPr>
          <w:p>
            <w:r>
              <w:t xml:space="preserve">Application Control</w:t>
            </w:r>
          </w:p>
        </w:tc>
        <w:tc>
          <w:tcPr>
            <w:tcW w:type="dxa" w:w="6240"/>
            <w:tcMar>
              <w:top w:type="dxa" w:w="80"/>
              <w:left w:type="dxa" w:w="120"/>
              <w:bottom w:type="dxa" w:w="80"/>
              <w:right w:type="dxa" w:w="120"/>
            </w:tcMar>
          </w:tcPr>
          <w:p>
            <w:r>
              <w:t xml:space="preserve">Prohibited apps blocked, app store restrictions enforced</w:t>
            </w:r>
          </w:p>
        </w:tc>
      </w:tr>
    </w:tbl>
    <w:p>
      <w:pPr>
        <w:pStyle w:val="Heading2"/>
      </w:pPr>
      <w:r>
        <w:t xml:space="preserve">3.2 Windows BYOD Devices</w:t>
      </w:r>
    </w:p>
    <w:p>
      <w:r>
        <w:t xml:space="preserve">Windows BYOD devices present unique challenges as organizational policy prohibits device enrollment in Intune. This limitation necessitates alternative security controls focused on session isolation and enhanced authentication.</w:t>
      </w:r>
    </w:p>
    <w:p>
      <w:pPr>
        <w:pStyle w:val="Heading3"/>
      </w:pPr>
      <w:r>
        <w:t xml:space="preserve">3.2.1 Policy Restrictions</w:t>
      </w:r>
    </w:p>
    <w:p>
      <w:r>
        <w:t xml:space="preserve">Due to corporate policy constraints, Windows BYOD devices cannot be enrolled in Intune, preventing the deployment of compliance policies and endpoint protection measures. This restriction requires alternative security approaches.</w:t>
      </w:r>
    </w:p>
    <w:p>
      <w:pPr>
        <w:spacing w:before="240"/>
      </w:pPr>
      <w:r>
        <w:rPr>
          <w:b/>
          <w:bCs/>
        </w:rPr>
        <w:t xml:space="preserve">Limitations:</w:t>
      </w:r>
    </w:p>
    <w:p>
      <w:pPr>
        <w:pStyle w:val="ListParagraph"/>
        <w:numPr>
          <w:ilvl w:val="0"/>
          <w:numId w:val="2"/>
        </w:numPr>
      </w:pPr>
      <w:r>
        <w:t xml:space="preserve">No device compliance policy enforcement</w:t>
      </w:r>
    </w:p>
    <w:p>
      <w:pPr>
        <w:pStyle w:val="ListParagraph"/>
        <w:numPr>
          <w:ilvl w:val="0"/>
          <w:numId w:val="2"/>
        </w:numPr>
      </w:pPr>
      <w:r>
        <w:t xml:space="preserve">Unable to verify antivirus software installation or status</w:t>
      </w:r>
    </w:p>
    <w:p>
      <w:pPr>
        <w:pStyle w:val="ListParagraph"/>
        <w:numPr>
          <w:ilvl w:val="0"/>
          <w:numId w:val="2"/>
        </w:numPr>
      </w:pPr>
      <w:r>
        <w:t xml:space="preserve">Cannot enforce Windows updates or security patch compliance</w:t>
      </w:r>
    </w:p>
    <w:p>
      <w:pPr>
        <w:pStyle w:val="ListParagraph"/>
        <w:numPr>
          <w:ilvl w:val="0"/>
          <w:numId w:val="2"/>
        </w:numPr>
      </w:pPr>
      <w:r>
        <w:t xml:space="preserve">No control over local software installation or configuration</w:t>
      </w:r>
    </w:p>
    <w:p>
      <w:pPr>
        <w:pStyle w:val="Heading3"/>
      </w:pPr>
      <w:r>
        <w:t xml:space="preserve">3.2.2 Compensating Controls</w:t>
      </w:r>
    </w:p>
    <w:p>
      <w:r>
        <w:t xml:space="preserve">To address the limitations of unmanaged Windows devices, comprehensive compensating controls focus on data isolation and enhanced authentication mechanisms.</w:t>
      </w:r>
    </w:p>
    <w:p>
      <w:pPr>
        <w:pStyle w:val="Heading1"/>
      </w:pPr>
      <w:r>
        <w:t xml:space="preserve">4. Windows 365 Security Controls</w:t>
      </w:r>
    </w:p>
    <w:p>
      <w:r>
        <w:t xml:space="preserve">Windows 365 Cloud PC security controls form the primary defense mechanism for protecting corporate data when accessed from BYOD devices. These controls ensure complete isolation between the corporate environment and personal devices.</w:t>
      </w:r>
    </w:p>
    <w:p>
      <w:pPr>
        <w:pStyle w:val="Heading2"/>
      </w:pPr>
      <w:r>
        <w:t xml:space="preserve">4.1 Device Redirection Restrictions</w:t>
      </w:r>
    </w:p>
    <w:p>
      <w:r>
        <w:t xml:space="preserve">Complete restriction of device redirection capabilities prevents any data transfer between the user's physical Windows device and the Windows 365 Cloud PC environment.</w:t>
      </w:r>
    </w:p>
    <w:p>
      <w:pPr>
        <w:pStyle w:val="Heading3"/>
      </w:pPr>
      <w:r>
        <w:t xml:space="preserve">4.1.1 Restricted Components</w:t>
      </w:r>
    </w:p>
    <w:p>
      <w:r>
        <w:t xml:space="preserve">The following device components are completely blocked from redirection into the Cloud PC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shd w:fill="D5E8F0" w:val="clear"/>
            <w:tcMar>
              <w:top w:type="dxa" w:w="80"/>
              <w:left w:type="dxa" w:w="120"/>
              <w:bottom w:type="dxa" w:w="80"/>
              <w:right w:type="dxa" w:w="120"/>
            </w:tcMar>
          </w:tcPr>
          <w:p>
            <w:r>
              <w:rPr>
                <w:b/>
                <w:bCs/>
              </w:rPr>
              <w:t xml:space="preserve">Device Type</w:t>
            </w:r>
          </w:p>
        </w:tc>
        <w:tc>
          <w:tcPr>
            <w:tcW w:type="dxa" w:w="4680"/>
            <w:shd w:fill="D5E8F0" w:val="clear"/>
            <w:tcMar>
              <w:top w:type="dxa" w:w="80"/>
              <w:left w:type="dxa" w:w="120"/>
              <w:bottom w:type="dxa" w:w="80"/>
              <w:right w:type="dxa" w:w="120"/>
            </w:tcMar>
          </w:tcPr>
          <w:p>
            <w:r>
              <w:rPr>
                <w:b/>
                <w:bCs/>
              </w:rPr>
              <w:t xml:space="preserve">Description</w:t>
            </w:r>
          </w:p>
        </w:tc>
        <w:tc>
          <w:tcPr>
            <w:tcW w:type="dxa" w:w="2340"/>
            <w:shd w:fill="D5E8F0" w:val="clear"/>
            <w:tcMar>
              <w:top w:type="dxa" w:w="80"/>
              <w:left w:type="dxa" w:w="120"/>
              <w:bottom w:type="dxa" w:w="80"/>
              <w:right w:type="dxa" w:w="120"/>
            </w:tcMar>
          </w:tcPr>
          <w:p>
            <w:r>
              <w:rPr>
                <w:b/>
                <w:bCs/>
              </w:rPr>
              <w:t xml:space="preserve">Risk Mitigation</w:t>
            </w:r>
          </w:p>
        </w:tc>
      </w:tr>
      <w:tr>
        <w:tc>
          <w:tcPr>
            <w:tcW w:type="dxa" w:w="2340"/>
            <w:tcMar>
              <w:top w:type="dxa" w:w="80"/>
              <w:left w:type="dxa" w:w="120"/>
              <w:bottom w:type="dxa" w:w="80"/>
              <w:right w:type="dxa" w:w="120"/>
            </w:tcMar>
          </w:tcPr>
          <w:p>
            <w:r>
              <w:t xml:space="preserve">Local Drives</w:t>
            </w:r>
          </w:p>
        </w:tc>
        <w:tc>
          <w:tcPr>
            <w:tcW w:type="dxa" w:w="4680"/>
            <w:tcMar>
              <w:top w:type="dxa" w:w="80"/>
              <w:left w:type="dxa" w:w="120"/>
              <w:bottom w:type="dxa" w:w="80"/>
              <w:right w:type="dxa" w:w="120"/>
            </w:tcMar>
          </w:tcPr>
          <w:p>
            <w:r>
              <w:t xml:space="preserve">Hard drives, SSDs, USB drives, network mapped drives</w:t>
            </w:r>
          </w:p>
        </w:tc>
        <w:tc>
          <w:tcPr>
            <w:tcW w:type="dxa" w:w="2340"/>
            <w:tcMar>
              <w:top w:type="dxa" w:w="80"/>
              <w:left w:type="dxa" w:w="120"/>
              <w:bottom w:type="dxa" w:w="80"/>
              <w:right w:type="dxa" w:w="120"/>
            </w:tcMar>
          </w:tcPr>
          <w:p>
            <w:r>
              <w:t xml:space="preserve">Prevents data exfiltration</w:t>
            </w:r>
          </w:p>
        </w:tc>
      </w:tr>
      <w:tr>
        <w:tc>
          <w:tcPr>
            <w:tcW w:type="dxa" w:w="2340"/>
            <w:tcMar>
              <w:top w:type="dxa" w:w="80"/>
              <w:left w:type="dxa" w:w="120"/>
              <w:bottom w:type="dxa" w:w="80"/>
              <w:right w:type="dxa" w:w="120"/>
            </w:tcMar>
          </w:tcPr>
          <w:p>
            <w:r>
              <w:t xml:space="preserve">Printers</w:t>
            </w:r>
          </w:p>
        </w:tc>
        <w:tc>
          <w:tcPr>
            <w:tcW w:type="dxa" w:w="4680"/>
            <w:tcMar>
              <w:top w:type="dxa" w:w="80"/>
              <w:left w:type="dxa" w:w="120"/>
              <w:bottom w:type="dxa" w:w="80"/>
              <w:right w:type="dxa" w:w="120"/>
            </w:tcMar>
          </w:tcPr>
          <w:p>
            <w:r>
              <w:t xml:space="preserve">Local and network printers, print-to-file capabilities</w:t>
            </w:r>
          </w:p>
        </w:tc>
        <w:tc>
          <w:tcPr>
            <w:tcW w:type="dxa" w:w="2340"/>
            <w:tcMar>
              <w:top w:type="dxa" w:w="80"/>
              <w:left w:type="dxa" w:w="120"/>
              <w:bottom w:type="dxa" w:w="80"/>
              <w:right w:type="dxa" w:w="120"/>
            </w:tcMar>
          </w:tcPr>
          <w:p>
            <w:r>
              <w:t xml:space="preserve">Blocks document printing</w:t>
            </w:r>
          </w:p>
        </w:tc>
      </w:tr>
      <w:tr>
        <w:tc>
          <w:tcPr>
            <w:tcW w:type="dxa" w:w="2340"/>
            <w:tcMar>
              <w:top w:type="dxa" w:w="80"/>
              <w:left w:type="dxa" w:w="120"/>
              <w:bottom w:type="dxa" w:w="80"/>
              <w:right w:type="dxa" w:w="120"/>
            </w:tcMar>
          </w:tcPr>
          <w:p>
            <w:r>
              <w:t xml:space="preserve">Scanners</w:t>
            </w:r>
          </w:p>
        </w:tc>
        <w:tc>
          <w:tcPr>
            <w:tcW w:type="dxa" w:w="4680"/>
            <w:tcMar>
              <w:top w:type="dxa" w:w="80"/>
              <w:left w:type="dxa" w:w="120"/>
              <w:bottom w:type="dxa" w:w="80"/>
              <w:right w:type="dxa" w:w="120"/>
            </w:tcMar>
          </w:tcPr>
          <w:p>
            <w:r>
              <w:t xml:space="preserve">Document scanners, multi-function devices</w:t>
            </w:r>
          </w:p>
        </w:tc>
        <w:tc>
          <w:tcPr>
            <w:tcW w:type="dxa" w:w="2340"/>
            <w:tcMar>
              <w:top w:type="dxa" w:w="80"/>
              <w:left w:type="dxa" w:w="120"/>
              <w:bottom w:type="dxa" w:w="80"/>
              <w:right w:type="dxa" w:w="120"/>
            </w:tcMar>
          </w:tcPr>
          <w:p>
            <w:r>
              <w:t xml:space="preserve">Prevents document import</w:t>
            </w:r>
          </w:p>
        </w:tc>
      </w:tr>
      <w:tr>
        <w:tc>
          <w:tcPr>
            <w:tcW w:type="dxa" w:w="2340"/>
            <w:tcMar>
              <w:top w:type="dxa" w:w="80"/>
              <w:left w:type="dxa" w:w="120"/>
              <w:bottom w:type="dxa" w:w="80"/>
              <w:right w:type="dxa" w:w="120"/>
            </w:tcMar>
          </w:tcPr>
          <w:p>
            <w:r>
              <w:t xml:space="preserve">Serial/COM Ports</w:t>
            </w:r>
          </w:p>
        </w:tc>
        <w:tc>
          <w:tcPr>
            <w:tcW w:type="dxa" w:w="4680"/>
            <w:tcMar>
              <w:top w:type="dxa" w:w="80"/>
              <w:left w:type="dxa" w:w="120"/>
              <w:bottom w:type="dxa" w:w="80"/>
              <w:right w:type="dxa" w:w="120"/>
            </w:tcMar>
          </w:tcPr>
          <w:p>
            <w:r>
              <w:t xml:space="preserve">Serial communications, specialized hardware interfaces</w:t>
            </w:r>
          </w:p>
        </w:tc>
        <w:tc>
          <w:tcPr>
            <w:tcW w:type="dxa" w:w="2340"/>
            <w:tcMar>
              <w:top w:type="dxa" w:w="80"/>
              <w:left w:type="dxa" w:w="120"/>
              <w:bottom w:type="dxa" w:w="80"/>
              <w:right w:type="dxa" w:w="120"/>
            </w:tcMar>
          </w:tcPr>
          <w:p>
            <w:r>
              <w:t xml:space="preserve">Blocks hardware access</w:t>
            </w:r>
          </w:p>
        </w:tc>
      </w:tr>
      <w:tr>
        <w:tc>
          <w:tcPr>
            <w:tcW w:type="dxa" w:w="2340"/>
            <w:tcMar>
              <w:top w:type="dxa" w:w="80"/>
              <w:left w:type="dxa" w:w="120"/>
              <w:bottom w:type="dxa" w:w="80"/>
              <w:right w:type="dxa" w:w="120"/>
            </w:tcMar>
          </w:tcPr>
          <w:p>
            <w:r>
              <w:t xml:space="preserve">Clipboard</w:t>
            </w:r>
          </w:p>
        </w:tc>
        <w:tc>
          <w:tcPr>
            <w:tcW w:type="dxa" w:w="4680"/>
            <w:tcMar>
              <w:top w:type="dxa" w:w="80"/>
              <w:left w:type="dxa" w:w="120"/>
              <w:bottom w:type="dxa" w:w="80"/>
              <w:right w:type="dxa" w:w="120"/>
            </w:tcMar>
          </w:tcPr>
          <w:p>
            <w:r>
              <w:t xml:space="preserve">Copy/paste operations between Cloud PC and local device</w:t>
            </w:r>
          </w:p>
        </w:tc>
        <w:tc>
          <w:tcPr>
            <w:tcW w:type="dxa" w:w="2340"/>
            <w:tcMar>
              <w:top w:type="dxa" w:w="80"/>
              <w:left w:type="dxa" w:w="120"/>
              <w:bottom w:type="dxa" w:w="80"/>
              <w:right w:type="dxa" w:w="120"/>
            </w:tcMar>
          </w:tcPr>
          <w:p>
            <w:r>
              <w:t xml:space="preserve">Prevents data copying</w:t>
            </w:r>
          </w:p>
        </w:tc>
      </w:tr>
    </w:tbl>
    <w:p>
      <w:pPr>
        <w:pStyle w:val="Heading3"/>
      </w:pPr>
      <w:r>
        <w:t xml:space="preserve">4.1.2 Implementation Method</w:t>
      </w:r>
    </w:p>
    <w:p>
      <w:r>
        <w:t xml:space="preserve">Device redirection restrictions are implemented through Windows 365 provisioning policies and can be enforced via Group Policy Objects (GPO) or Microsoft Intune policies applied to the Cloud PC environment.</w:t>
      </w:r>
    </w:p>
    <w:p>
      <w:pPr>
        <w:pStyle w:val="Heading2"/>
      </w:pPr>
      <w:r>
        <w:t xml:space="preserve">4.2 Session Security</w:t>
      </w:r>
    </w:p>
    <w:p>
      <w:r>
        <w:t xml:space="preserve">Beyond device redirection restrictions, additional session-level security controls provide defense-in-depth protection for Cloud PC environments.</w:t>
      </w:r>
    </w:p>
    <w:p>
      <w:pPr>
        <w:spacing w:before="240"/>
      </w:pPr>
      <w:r>
        <w:rPr>
          <w:b/>
          <w:bCs/>
        </w:rPr>
        <w:t xml:space="preserve">Session Controls:</w:t>
      </w:r>
    </w:p>
    <w:p>
      <w:pPr>
        <w:pStyle w:val="ListParagraph"/>
        <w:numPr>
          <w:ilvl w:val="0"/>
          <w:numId w:val="2"/>
        </w:numPr>
      </w:pPr>
      <w:r>
        <w:t xml:space="preserve">Automatic session timeout after 30 minutes of inactivity</w:t>
      </w:r>
    </w:p>
    <w:p>
      <w:pPr>
        <w:pStyle w:val="ListParagraph"/>
        <w:numPr>
          <w:ilvl w:val="0"/>
          <w:numId w:val="2"/>
        </w:numPr>
      </w:pPr>
      <w:r>
        <w:t xml:space="preserve">Screen recording and screenshot restrictions</w:t>
      </w:r>
    </w:p>
    <w:p>
      <w:pPr>
        <w:pStyle w:val="ListParagraph"/>
        <w:numPr>
          <w:ilvl w:val="0"/>
          <w:numId w:val="2"/>
        </w:numPr>
      </w:pPr>
      <w:r>
        <w:t xml:space="preserve">Watermarking of sensitive documents and screens</w:t>
      </w:r>
    </w:p>
    <w:p>
      <w:pPr>
        <w:pStyle w:val="ListParagraph"/>
        <w:numPr>
          <w:ilvl w:val="0"/>
          <w:numId w:val="2"/>
        </w:numPr>
      </w:pPr>
      <w:r>
        <w:t xml:space="preserve">Bandwidth optimization with security prioritization</w:t>
      </w:r>
    </w:p>
    <w:p>
      <w:pPr>
        <w:pStyle w:val="Heading3"/>
      </w:pPr>
      <w:r>
        <w:t xml:space="preserve">4.2.1 Screen Lock and Timeout Policies</w:t>
      </w:r>
    </w:p>
    <w:p>
      <w:r>
        <w:t xml:space="preserve">Comprehensive screen timeout and lockout policies prevent unauthorized access to active Cloud PC sessions when users step away from their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5E8F0" w:val="clear"/>
            <w:tcMar>
              <w:top w:type="dxa" w:w="80"/>
              <w:left w:type="dxa" w:w="120"/>
              <w:bottom w:type="dxa" w:w="80"/>
              <w:right w:type="dxa" w:w="120"/>
            </w:tcMar>
          </w:tcPr>
          <w:p>
            <w:r>
              <w:rPr>
                <w:b/>
                <w:bCs/>
              </w:rPr>
              <w:t xml:space="preserve">Policy Type</w:t>
            </w:r>
          </w:p>
        </w:tc>
        <w:tc>
          <w:tcPr>
            <w:tcW w:type="dxa" w:w="3120"/>
            <w:shd w:fill="D5E8F0" w:val="clear"/>
            <w:tcMar>
              <w:top w:type="dxa" w:w="80"/>
              <w:left w:type="dxa" w:w="120"/>
              <w:bottom w:type="dxa" w:w="80"/>
              <w:right w:type="dxa" w:w="120"/>
            </w:tcMar>
          </w:tcPr>
          <w:p>
            <w:r>
              <w:rPr>
                <w:b/>
                <w:bCs/>
              </w:rPr>
              <w:t xml:space="preserve">Timeout Duration</w:t>
            </w:r>
          </w:p>
        </w:tc>
        <w:tc>
          <w:tcPr>
            <w:tcW w:type="dxa" w:w="3120"/>
            <w:shd w:fill="D5E8F0" w:val="clear"/>
            <w:tcMar>
              <w:top w:type="dxa" w:w="80"/>
              <w:left w:type="dxa" w:w="120"/>
              <w:bottom w:type="dxa" w:w="80"/>
              <w:right w:type="dxa" w:w="120"/>
            </w:tcMar>
          </w:tcPr>
          <w:p>
            <w:r>
              <w:rPr>
                <w:b/>
                <w:bCs/>
              </w:rPr>
              <w:t xml:space="preserve">Security Benefit</w:t>
            </w:r>
          </w:p>
        </w:tc>
      </w:tr>
      <w:tr>
        <w:tc>
          <w:tcPr>
            <w:tcW w:type="dxa" w:w="3120"/>
            <w:tcMar>
              <w:top w:type="dxa" w:w="80"/>
              <w:left w:type="dxa" w:w="120"/>
              <w:bottom w:type="dxa" w:w="80"/>
              <w:right w:type="dxa" w:w="120"/>
            </w:tcMar>
          </w:tcPr>
          <w:p>
            <w:r>
              <w:t xml:space="preserve">Screen Saver Activation</w:t>
            </w:r>
          </w:p>
        </w:tc>
        <w:tc>
          <w:tcPr>
            <w:tcW w:type="dxa" w:w="3120"/>
            <w:tcMar>
              <w:top w:type="dxa" w:w="80"/>
              <w:left w:type="dxa" w:w="120"/>
              <w:bottom w:type="dxa" w:w="80"/>
              <w:right w:type="dxa" w:w="120"/>
            </w:tcMar>
          </w:tcPr>
          <w:p>
            <w:r>
              <w:t xml:space="preserve">10 minutes of inactivity</w:t>
            </w:r>
          </w:p>
        </w:tc>
        <w:tc>
          <w:tcPr>
            <w:tcW w:type="dxa" w:w="3120"/>
            <w:tcMar>
              <w:top w:type="dxa" w:w="80"/>
              <w:left w:type="dxa" w:w="120"/>
              <w:bottom w:type="dxa" w:w="80"/>
              <w:right w:type="dxa" w:w="120"/>
            </w:tcMar>
          </w:tcPr>
          <w:p>
            <w:r>
              <w:t xml:space="preserve">Visual privacy protection</w:t>
            </w:r>
          </w:p>
        </w:tc>
      </w:tr>
      <w:tr>
        <w:tc>
          <w:tcPr>
            <w:tcW w:type="dxa" w:w="3120"/>
            <w:tcMar>
              <w:top w:type="dxa" w:w="80"/>
              <w:left w:type="dxa" w:w="120"/>
              <w:bottom w:type="dxa" w:w="80"/>
              <w:right w:type="dxa" w:w="120"/>
            </w:tcMar>
          </w:tcPr>
          <w:p>
            <w:r>
              <w:t xml:space="preserve">Automatic Screen Lock</w:t>
            </w:r>
          </w:p>
        </w:tc>
        <w:tc>
          <w:tcPr>
            <w:tcW w:type="dxa" w:w="3120"/>
            <w:tcMar>
              <w:top w:type="dxa" w:w="80"/>
              <w:left w:type="dxa" w:w="120"/>
              <w:bottom w:type="dxa" w:w="80"/>
              <w:right w:type="dxa" w:w="120"/>
            </w:tcMar>
          </w:tcPr>
          <w:p>
            <w:r>
              <w:t xml:space="preserve">15 minutes of inactivity</w:t>
            </w:r>
          </w:p>
        </w:tc>
        <w:tc>
          <w:tcPr>
            <w:tcW w:type="dxa" w:w="3120"/>
            <w:tcMar>
              <w:top w:type="dxa" w:w="80"/>
              <w:left w:type="dxa" w:w="120"/>
              <w:bottom w:type="dxa" w:w="80"/>
              <w:right w:type="dxa" w:w="120"/>
            </w:tcMar>
          </w:tcPr>
          <w:p>
            <w:r>
              <w:t xml:space="preserve">Requires re-authentication</w:t>
            </w:r>
          </w:p>
        </w:tc>
      </w:tr>
      <w:tr>
        <w:tc>
          <w:tcPr>
            <w:tcW w:type="dxa" w:w="3120"/>
            <w:tcMar>
              <w:top w:type="dxa" w:w="80"/>
              <w:left w:type="dxa" w:w="120"/>
              <w:bottom w:type="dxa" w:w="80"/>
              <w:right w:type="dxa" w:w="120"/>
            </w:tcMar>
          </w:tcPr>
          <w:p>
            <w:r>
              <w:t xml:space="preserve">Session Disconnection</w:t>
            </w:r>
          </w:p>
        </w:tc>
        <w:tc>
          <w:tcPr>
            <w:tcW w:type="dxa" w:w="3120"/>
            <w:tcMar>
              <w:top w:type="dxa" w:w="80"/>
              <w:left w:type="dxa" w:w="120"/>
              <w:bottom w:type="dxa" w:w="80"/>
              <w:right w:type="dxa" w:w="120"/>
            </w:tcMar>
          </w:tcPr>
          <w:p>
            <w:r>
              <w:t xml:space="preserve">30 minutes of inactivity</w:t>
            </w:r>
          </w:p>
        </w:tc>
        <w:tc>
          <w:tcPr>
            <w:tcW w:type="dxa" w:w="3120"/>
            <w:tcMar>
              <w:top w:type="dxa" w:w="80"/>
              <w:left w:type="dxa" w:w="120"/>
              <w:bottom w:type="dxa" w:w="80"/>
              <w:right w:type="dxa" w:w="120"/>
            </w:tcMar>
          </w:tcPr>
          <w:p>
            <w:r>
              <w:t xml:space="preserve">Complete session termination</w:t>
            </w:r>
          </w:p>
        </w:tc>
      </w:tr>
    </w:tbl>
    <w:p>
      <w:pPr>
        <w:pStyle w:val="Heading2"/>
      </w:pPr>
      <w:r>
        <w:t xml:space="preserve">4.3 Network Security Controls</w:t>
      </w:r>
    </w:p>
    <w:p>
      <w:r>
        <w:t xml:space="preserve">Advanced firewall filtering rules within the Windows 365 Cloud PC environment prevent access to external services that could be used for data exfiltration, providing an additional layer of data loss prevention.</w:t>
      </w:r>
    </w:p>
    <w:p>
      <w:pPr>
        <w:pStyle w:val="Heading3"/>
      </w:pPr>
      <w:r>
        <w:t xml:space="preserve">4.3.1 Web Filtering and Access Restrictions</w:t>
      </w:r>
    </w:p>
    <w:p>
      <w:r>
        <w:t xml:space="preserve">Comprehensive web filtering blocks access to cloud storage services, unauthorized SaaS applications, and other platforms that could facilitate data exfiltration or security policy violations.</w:t>
      </w:r>
    </w:p>
    <w:p>
      <w:pPr>
        <w:spacing w:before="240"/>
      </w:pPr>
      <w:r>
        <w:rPr>
          <w:b/>
          <w:bCs/>
        </w:rPr>
        <w:t xml:space="preserve">Blocked Service Categories:</w:t>
      </w:r>
    </w:p>
    <w:p>
      <w:pPr>
        <w:pStyle w:val="ListParagraph"/>
        <w:numPr>
          <w:ilvl w:val="0"/>
          <w:numId w:val="2"/>
        </w:numPr>
      </w:pPr>
      <w:r>
        <w:t xml:space="preserve">Consumer cloud storage (Dropbox, Google Drive personal accounts, iCloud)</w:t>
      </w:r>
    </w:p>
    <w:p>
      <w:pPr>
        <w:pStyle w:val="ListParagraph"/>
        <w:numPr>
          <w:ilvl w:val="0"/>
          <w:numId w:val="2"/>
        </w:numPr>
      </w:pPr>
      <w:r>
        <w:t xml:space="preserve">Third-party email services (Gmail, Yahoo Mail, Outlook.com personal accounts)</w:t>
      </w:r>
    </w:p>
    <w:p>
      <w:pPr>
        <w:pStyle w:val="ListParagraph"/>
        <w:numPr>
          <w:ilvl w:val="0"/>
          <w:numId w:val="2"/>
        </w:numPr>
      </w:pPr>
      <w:r>
        <w:t xml:space="preserve">Code sharing and paste sites (Pastebin, GitHub Gist, CodePen)</w:t>
      </w:r>
    </w:p>
    <w:p>
      <w:pPr>
        <w:pStyle w:val="ListParagraph"/>
        <w:numPr>
          <w:ilvl w:val="0"/>
          <w:numId w:val="2"/>
        </w:numPr>
      </w:pPr>
      <w:r>
        <w:t xml:space="preserve">File sharing and transfer services (WeTransfer, SendSpace, MediaFire)</w:t>
      </w:r>
    </w:p>
    <w:p>
      <w:pPr>
        <w:pStyle w:val="ListParagraph"/>
        <w:numPr>
          <w:ilvl w:val="0"/>
          <w:numId w:val="2"/>
        </w:numPr>
      </w:pPr>
      <w:r>
        <w:t xml:space="preserve">Social media platforms with file upload capabilities</w:t>
      </w:r>
    </w:p>
    <w:p>
      <w:pPr>
        <w:pStyle w:val="ListParagraph"/>
        <w:numPr>
          <w:ilvl w:val="0"/>
          <w:numId w:val="2"/>
        </w:numPr>
      </w:pPr>
      <w:r>
        <w:t xml:space="preserve">Unauthorized messaging and collaboration tools</w:t>
      </w:r>
    </w:p>
    <w:p>
      <w:pPr>
        <w:pStyle w:val="Heading3"/>
      </w:pPr>
      <w:r>
        <w:t xml:space="preserve">4.3.2 Firewall Implementation</w:t>
      </w:r>
    </w:p>
    <w:p>
      <w:r>
        <w:t xml:space="preserve">Network filtering is implemented through Windows Defender Firewall with Advanced Security and Windows Filtering Platform (WFP) to provide granular control over outbound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shd w:fill="D5E8F0" w:val="clear"/>
            <w:tcMar>
              <w:top w:type="dxa" w:w="80"/>
              <w:left w:type="dxa" w:w="120"/>
              <w:bottom w:type="dxa" w:w="80"/>
              <w:right w:type="dxa" w:w="120"/>
            </w:tcMar>
          </w:tcPr>
          <w:p>
            <w:r>
              <w:rPr>
                <w:b/>
                <w:bCs/>
              </w:rPr>
              <w:t xml:space="preserve">Filter Type</w:t>
            </w:r>
          </w:p>
        </w:tc>
        <w:tc>
          <w:tcPr>
            <w:tcW w:type="dxa" w:w="4680"/>
            <w:shd w:fill="D5E8F0" w:val="clear"/>
            <w:tcMar>
              <w:top w:type="dxa" w:w="80"/>
              <w:left w:type="dxa" w:w="120"/>
              <w:bottom w:type="dxa" w:w="80"/>
              <w:right w:type="dxa" w:w="120"/>
            </w:tcMar>
          </w:tcPr>
          <w:p>
            <w:r>
              <w:rPr>
                <w:b/>
                <w:bCs/>
              </w:rPr>
              <w:t xml:space="preserve">Implementation Method</w:t>
            </w:r>
          </w:p>
        </w:tc>
        <w:tc>
          <w:tcPr>
            <w:tcW w:type="dxa" w:w="2340"/>
            <w:shd w:fill="D5E8F0" w:val="clear"/>
            <w:tcMar>
              <w:top w:type="dxa" w:w="80"/>
              <w:left w:type="dxa" w:w="120"/>
              <w:bottom w:type="dxa" w:w="80"/>
              <w:right w:type="dxa" w:w="120"/>
            </w:tcMar>
          </w:tcPr>
          <w:p>
            <w:r>
              <w:rPr>
                <w:b/>
                <w:bCs/>
              </w:rPr>
              <w:t xml:space="preserve">Scope</w:t>
            </w:r>
          </w:p>
        </w:tc>
      </w:tr>
      <w:tr>
        <w:tc>
          <w:tcPr>
            <w:tcW w:type="dxa" w:w="2340"/>
            <w:tcMar>
              <w:top w:type="dxa" w:w="80"/>
              <w:left w:type="dxa" w:w="120"/>
              <w:bottom w:type="dxa" w:w="80"/>
              <w:right w:type="dxa" w:w="120"/>
            </w:tcMar>
          </w:tcPr>
          <w:p>
            <w:r>
              <w:t xml:space="preserve">URL Filtering</w:t>
            </w:r>
          </w:p>
        </w:tc>
        <w:tc>
          <w:tcPr>
            <w:tcW w:type="dxa" w:w="4680"/>
            <w:tcMar>
              <w:top w:type="dxa" w:w="80"/>
              <w:left w:type="dxa" w:w="120"/>
              <w:bottom w:type="dxa" w:w="80"/>
              <w:right w:type="dxa" w:w="120"/>
            </w:tcMar>
          </w:tcPr>
          <w:p>
            <w:r>
              <w:t xml:space="preserve">Group Policy with custom URL blacklists and category blocking</w:t>
            </w:r>
          </w:p>
        </w:tc>
        <w:tc>
          <w:tcPr>
            <w:tcW w:type="dxa" w:w="2340"/>
            <w:tcMar>
              <w:top w:type="dxa" w:w="80"/>
              <w:left w:type="dxa" w:w="120"/>
              <w:bottom w:type="dxa" w:w="80"/>
              <w:right w:type="dxa" w:w="120"/>
            </w:tcMar>
          </w:tcPr>
          <w:p>
            <w:r>
              <w:t xml:space="preserve">All web browsers</w:t>
            </w:r>
          </w:p>
        </w:tc>
      </w:tr>
      <w:tr>
        <w:tc>
          <w:tcPr>
            <w:tcW w:type="dxa" w:w="2340"/>
            <w:tcMar>
              <w:top w:type="dxa" w:w="80"/>
              <w:left w:type="dxa" w:w="120"/>
              <w:bottom w:type="dxa" w:w="80"/>
              <w:right w:type="dxa" w:w="120"/>
            </w:tcMar>
          </w:tcPr>
          <w:p>
            <w:r>
              <w:t xml:space="preserve">Application Control</w:t>
            </w:r>
          </w:p>
        </w:tc>
        <w:tc>
          <w:tcPr>
            <w:tcW w:type="dxa" w:w="4680"/>
            <w:tcMar>
              <w:top w:type="dxa" w:w="80"/>
              <w:left w:type="dxa" w:w="120"/>
              <w:bottom w:type="dxa" w:w="80"/>
              <w:right w:type="dxa" w:w="120"/>
            </w:tcMar>
          </w:tcPr>
          <w:p>
            <w:r>
              <w:t xml:space="preserve">Windows Defender Application Control (WDAC) policies</w:t>
            </w:r>
          </w:p>
        </w:tc>
        <w:tc>
          <w:tcPr>
            <w:tcW w:type="dxa" w:w="2340"/>
            <w:tcMar>
              <w:top w:type="dxa" w:w="80"/>
              <w:left w:type="dxa" w:w="120"/>
              <w:bottom w:type="dxa" w:w="80"/>
              <w:right w:type="dxa" w:w="120"/>
            </w:tcMar>
          </w:tcPr>
          <w:p>
            <w:r>
              <w:t xml:space="preserve">System-wide</w:t>
            </w:r>
          </w:p>
        </w:tc>
      </w:tr>
      <w:tr>
        <w:tc>
          <w:tcPr>
            <w:tcW w:type="dxa" w:w="2340"/>
            <w:tcMar>
              <w:top w:type="dxa" w:w="80"/>
              <w:left w:type="dxa" w:w="120"/>
              <w:bottom w:type="dxa" w:w="80"/>
              <w:right w:type="dxa" w:w="120"/>
            </w:tcMar>
          </w:tcPr>
          <w:p>
            <w:r>
              <w:t xml:space="preserve">DNS Filtering</w:t>
            </w:r>
          </w:p>
        </w:tc>
        <w:tc>
          <w:tcPr>
            <w:tcW w:type="dxa" w:w="4680"/>
            <w:tcMar>
              <w:top w:type="dxa" w:w="80"/>
              <w:left w:type="dxa" w:w="120"/>
              <w:bottom w:type="dxa" w:w="80"/>
              <w:right w:type="dxa" w:w="120"/>
            </w:tcMar>
          </w:tcPr>
          <w:p>
            <w:r>
              <w:t xml:space="preserve">Custom DNS servers with domain blacklisting capabilities</w:t>
            </w:r>
          </w:p>
        </w:tc>
        <w:tc>
          <w:tcPr>
            <w:tcW w:type="dxa" w:w="2340"/>
            <w:tcMar>
              <w:top w:type="dxa" w:w="80"/>
              <w:left w:type="dxa" w:w="120"/>
              <w:bottom w:type="dxa" w:w="80"/>
              <w:right w:type="dxa" w:w="120"/>
            </w:tcMar>
          </w:tcPr>
          <w:p>
            <w:r>
              <w:t xml:space="preserve">Network-level</w:t>
            </w:r>
          </w:p>
        </w:tc>
      </w:tr>
      <w:tr>
        <w:tc>
          <w:tcPr>
            <w:tcW w:type="dxa" w:w="2340"/>
            <w:tcMar>
              <w:top w:type="dxa" w:w="80"/>
              <w:left w:type="dxa" w:w="120"/>
              <w:bottom w:type="dxa" w:w="80"/>
              <w:right w:type="dxa" w:w="120"/>
            </w:tcMar>
          </w:tcPr>
          <w:p>
            <w:r>
              <w:t xml:space="preserve">Port Blocking</w:t>
            </w:r>
          </w:p>
        </w:tc>
        <w:tc>
          <w:tcPr>
            <w:tcW w:type="dxa" w:w="4680"/>
            <w:tcMar>
              <w:top w:type="dxa" w:w="80"/>
              <w:left w:type="dxa" w:w="120"/>
              <w:bottom w:type="dxa" w:w="80"/>
              <w:right w:type="dxa" w:w="120"/>
            </w:tcMar>
          </w:tcPr>
          <w:p>
            <w:r>
              <w:t xml:space="preserve">Windows Firewall rules blocking non-essential outbound ports</w:t>
            </w:r>
          </w:p>
        </w:tc>
        <w:tc>
          <w:tcPr>
            <w:tcW w:type="dxa" w:w="2340"/>
            <w:tcMar>
              <w:top w:type="dxa" w:w="80"/>
              <w:left w:type="dxa" w:w="120"/>
              <w:bottom w:type="dxa" w:w="80"/>
              <w:right w:type="dxa" w:w="120"/>
            </w:tcMar>
          </w:tcPr>
          <w:p>
            <w:r>
              <w:t xml:space="preserve">All applications</w:t>
            </w:r>
          </w:p>
        </w:tc>
      </w:tr>
    </w:tbl>
    <w:p>
      <w:pPr>
        <w:pStyle w:val="Heading3"/>
      </w:pPr>
      <w:r>
        <w:t xml:space="preserve">4.3.3 Monitoring and Logging</w:t>
      </w:r>
    </w:p>
    <w:p>
      <w:r>
        <w:t xml:space="preserve">All blocked connection attempts are logged and monitored to identify potential data exfiltration attempts and ensure policy compliance.</w:t>
      </w:r>
    </w:p>
    <w:p>
      <w:pPr>
        <w:spacing w:before="240"/>
      </w:pPr>
      <w:r>
        <w:rPr>
          <w:b/>
          <w:bCs/>
        </w:rPr>
        <w:t xml:space="preserve">Logged Events:</w:t>
      </w:r>
    </w:p>
    <w:p>
      <w:pPr>
        <w:pStyle w:val="ListParagraph"/>
        <w:numPr>
          <w:ilvl w:val="0"/>
          <w:numId w:val="2"/>
        </w:numPr>
      </w:pPr>
      <w:r>
        <w:t xml:space="preserve">Blocked URL access attempts with user identification</w:t>
      </w:r>
    </w:p>
    <w:p>
      <w:pPr>
        <w:pStyle w:val="ListParagraph"/>
        <w:numPr>
          <w:ilvl w:val="0"/>
          <w:numId w:val="2"/>
        </w:numPr>
      </w:pPr>
      <w:r>
        <w:t xml:space="preserve">Application execution attempts for unauthorized software</w:t>
      </w:r>
    </w:p>
    <w:p>
      <w:pPr>
        <w:pStyle w:val="ListParagraph"/>
        <w:numPr>
          <w:ilvl w:val="0"/>
          <w:numId w:val="2"/>
        </w:numPr>
      </w:pPr>
      <w:r>
        <w:t xml:space="preserve">DNS query patterns indicating circumvention attempts</w:t>
      </w:r>
    </w:p>
    <w:p>
      <w:pPr>
        <w:pStyle w:val="ListParagraph"/>
        <w:numPr>
          <w:ilvl w:val="0"/>
          <w:numId w:val="2"/>
        </w:numPr>
      </w:pPr>
      <w:r>
        <w:t xml:space="preserve">Network connection failures and firewall rule triggers</w:t>
      </w:r>
    </w:p>
    <w:p>
      <w:pPr>
        <w:pStyle w:val="Heading1"/>
      </w:pPr>
      <w:r>
        <w:t xml:space="preserve">5. Multi-Factor Authentication</w:t>
      </w:r>
    </w:p>
    <w:p>
      <w:r>
        <w:t xml:space="preserve">Multi-factor authentication serves as a critical security control, particularly for Windows BYOD devices where device-level security cannot be assured. The implementation uses Duo Security to provide time-based authentication challenges.</w:t>
      </w:r>
    </w:p>
    <w:p>
      <w:pPr>
        <w:pStyle w:val="Heading2"/>
      </w:pPr>
      <w:r>
        <w:t xml:space="preserve">5.1 Universal MFA Requirements</w:t>
      </w:r>
    </w:p>
    <w:p>
      <w:r>
        <w:t xml:space="preserve">All users accessing Windows 365 Cloud PCs from BYOD devices, regardless of platform, are subject to enhanced multi-factor authentication requirements that extend beyond initial login.</w:t>
      </w:r>
    </w:p>
    <w:p>
      <w:pPr>
        <w:pStyle w:val="Heading3"/>
      </w:pPr>
      <w:r>
        <w:t xml:space="preserve">5.1.1 Hourly Authentication Challenges</w:t>
      </w:r>
    </w:p>
    <w:p>
      <w:r>
        <w:t xml:space="preserve">Duo Security integration provides continuous authentication verification through hourly prompts, significantly reducing the risk of session hijacking and unauthorized access from compromised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D5E8F0" w:val="clear"/>
            <w:tcMar>
              <w:top w:type="dxa" w:w="80"/>
              <w:left w:type="dxa" w:w="120"/>
              <w:bottom w:type="dxa" w:w="80"/>
              <w:right w:type="dxa" w:w="120"/>
            </w:tcMar>
          </w:tcPr>
          <w:p>
            <w:r>
              <w:rPr>
                <w:b/>
                <w:bCs/>
              </w:rPr>
              <w:t xml:space="preserve">Authentication Factor</w:t>
            </w:r>
          </w:p>
        </w:tc>
        <w:tc>
          <w:tcPr>
            <w:tcW w:type="dxa" w:w="3510"/>
            <w:shd w:fill="D5E8F0" w:val="clear"/>
            <w:tcMar>
              <w:top w:type="dxa" w:w="80"/>
              <w:left w:type="dxa" w:w="120"/>
              <w:bottom w:type="dxa" w:w="80"/>
              <w:right w:type="dxa" w:w="120"/>
            </w:tcMar>
          </w:tcPr>
          <w:p>
            <w:r>
              <w:rPr>
                <w:b/>
                <w:bCs/>
              </w:rPr>
              <w:t xml:space="preserve">Method</w:t>
            </w:r>
          </w:p>
        </w:tc>
        <w:tc>
          <w:tcPr>
            <w:tcW w:type="dxa" w:w="3510"/>
            <w:shd w:fill="D5E8F0" w:val="clear"/>
            <w:tcMar>
              <w:top w:type="dxa" w:w="80"/>
              <w:left w:type="dxa" w:w="120"/>
              <w:bottom w:type="dxa" w:w="80"/>
              <w:right w:type="dxa" w:w="120"/>
            </w:tcMar>
          </w:tcPr>
          <w:p>
            <w:r>
              <w:rPr>
                <w:b/>
                <w:bCs/>
              </w:rPr>
              <w:t xml:space="preserve">Frequency</w:t>
            </w:r>
          </w:p>
        </w:tc>
      </w:tr>
      <w:tr>
        <w:tc>
          <w:tcPr>
            <w:tcW w:type="dxa" w:w="2340"/>
            <w:tcMar>
              <w:top w:type="dxa" w:w="80"/>
              <w:left w:type="dxa" w:w="120"/>
              <w:bottom w:type="dxa" w:w="80"/>
              <w:right w:type="dxa" w:w="120"/>
            </w:tcMar>
          </w:tcPr>
          <w:p>
            <w:r>
              <w:t xml:space="preserve">Primary</w:t>
            </w:r>
          </w:p>
        </w:tc>
        <w:tc>
          <w:tcPr>
            <w:tcW w:type="dxa" w:w="3510"/>
            <w:tcMar>
              <w:top w:type="dxa" w:w="80"/>
              <w:left w:type="dxa" w:w="120"/>
              <w:bottom w:type="dxa" w:w="80"/>
              <w:right w:type="dxa" w:w="120"/>
            </w:tcMar>
          </w:tcPr>
          <w:p>
            <w:r>
              <w:t xml:space="preserve">Username and password</w:t>
            </w:r>
          </w:p>
        </w:tc>
        <w:tc>
          <w:tcPr>
            <w:tcW w:type="dxa" w:w="3510"/>
            <w:tcMar>
              <w:top w:type="dxa" w:w="80"/>
              <w:left w:type="dxa" w:w="120"/>
              <w:bottom w:type="dxa" w:w="80"/>
              <w:right w:type="dxa" w:w="120"/>
            </w:tcMar>
          </w:tcPr>
          <w:p>
            <w:r>
              <w:t xml:space="preserve">Initial session establishment</w:t>
            </w:r>
          </w:p>
        </w:tc>
      </w:tr>
      <w:tr>
        <w:tc>
          <w:tcPr>
            <w:tcW w:type="dxa" w:w="2340"/>
            <w:tcMar>
              <w:top w:type="dxa" w:w="80"/>
              <w:left w:type="dxa" w:w="120"/>
              <w:bottom w:type="dxa" w:w="80"/>
              <w:right w:type="dxa" w:w="120"/>
            </w:tcMar>
          </w:tcPr>
          <w:p>
            <w:r>
              <w:t xml:space="preserve">Secondary</w:t>
            </w:r>
          </w:p>
        </w:tc>
        <w:tc>
          <w:tcPr>
            <w:tcW w:type="dxa" w:w="3510"/>
            <w:tcMar>
              <w:top w:type="dxa" w:w="80"/>
              <w:left w:type="dxa" w:w="120"/>
              <w:bottom w:type="dxa" w:w="80"/>
              <w:right w:type="dxa" w:w="120"/>
            </w:tcMar>
          </w:tcPr>
          <w:p>
            <w:r>
              <w:t xml:space="preserve">Duo push notification, SMS, or hardware token</w:t>
            </w:r>
          </w:p>
        </w:tc>
        <w:tc>
          <w:tcPr>
            <w:tcW w:type="dxa" w:w="3510"/>
            <w:tcMar>
              <w:top w:type="dxa" w:w="80"/>
              <w:left w:type="dxa" w:w="120"/>
              <w:bottom w:type="dxa" w:w="80"/>
              <w:right w:type="dxa" w:w="120"/>
            </w:tcMar>
          </w:tcPr>
          <w:p>
            <w:r>
              <w:t xml:space="preserve">Every 60 minutes during active session</w:t>
            </w:r>
          </w:p>
        </w:tc>
      </w:tr>
      <w:tr>
        <w:tc>
          <w:tcPr>
            <w:tcW w:type="dxa" w:w="2340"/>
            <w:tcMar>
              <w:top w:type="dxa" w:w="80"/>
              <w:left w:type="dxa" w:w="120"/>
              <w:bottom w:type="dxa" w:w="80"/>
              <w:right w:type="dxa" w:w="120"/>
            </w:tcMar>
          </w:tcPr>
          <w:p>
            <w:r>
              <w:t xml:space="preserve">Adaptive</w:t>
            </w:r>
          </w:p>
        </w:tc>
        <w:tc>
          <w:tcPr>
            <w:tcW w:type="dxa" w:w="3510"/>
            <w:tcMar>
              <w:top w:type="dxa" w:w="80"/>
              <w:left w:type="dxa" w:w="120"/>
              <w:bottom w:type="dxa" w:w="80"/>
              <w:right w:type="dxa" w:w="120"/>
            </w:tcMar>
          </w:tcPr>
          <w:p>
            <w:r>
              <w:t xml:space="preserve">Additional challenges based on risk assessment</w:t>
            </w:r>
          </w:p>
        </w:tc>
        <w:tc>
          <w:tcPr>
            <w:tcW w:type="dxa" w:w="3510"/>
            <w:tcMar>
              <w:top w:type="dxa" w:w="80"/>
              <w:left w:type="dxa" w:w="120"/>
              <w:bottom w:type="dxa" w:w="80"/>
              <w:right w:type="dxa" w:w="120"/>
            </w:tcMar>
          </w:tcPr>
          <w:p>
            <w:r>
              <w:t xml:space="preserve">Triggered by anomalous activity</w:t>
            </w:r>
          </w:p>
        </w:tc>
      </w:tr>
    </w:tbl>
    <w:p>
      <w:pPr>
        <w:pStyle w:val="Heading2"/>
      </w:pPr>
      <w:r>
        <w:t xml:space="preserve">5.2 Risk-Based Authentication</w:t>
      </w:r>
    </w:p>
    <w:p>
      <w:r>
        <w:t xml:space="preserve">The Duo Security platform provides intelligent risk assessment capabilities that can trigger additional authentication challenges based on various risk factors specific to BYOD environments.</w:t>
      </w:r>
    </w:p>
    <w:p>
      <w:pPr>
        <w:spacing w:before="240"/>
      </w:pPr>
      <w:r>
        <w:rPr>
          <w:b/>
          <w:bCs/>
        </w:rPr>
        <w:t xml:space="preserve">Risk Factors Monitored:</w:t>
      </w:r>
    </w:p>
    <w:p>
      <w:pPr>
        <w:pStyle w:val="ListParagraph"/>
        <w:numPr>
          <w:ilvl w:val="0"/>
          <w:numId w:val="2"/>
        </w:numPr>
      </w:pPr>
      <w:r>
        <w:t xml:space="preserve">Unusual geographic location or IP address ranges</w:t>
      </w:r>
    </w:p>
    <w:p>
      <w:pPr>
        <w:pStyle w:val="ListParagraph"/>
        <w:numPr>
          <w:ilvl w:val="0"/>
          <w:numId w:val="2"/>
        </w:numPr>
      </w:pPr>
      <w:r>
        <w:t xml:space="preserve">New device or browser fingerprints</w:t>
      </w:r>
    </w:p>
    <w:p>
      <w:pPr>
        <w:pStyle w:val="ListParagraph"/>
        <w:numPr>
          <w:ilvl w:val="0"/>
          <w:numId w:val="2"/>
        </w:numPr>
      </w:pPr>
      <w:r>
        <w:t xml:space="preserve">Atypical access patterns or timing</w:t>
      </w:r>
    </w:p>
    <w:p>
      <w:pPr>
        <w:pStyle w:val="ListParagraph"/>
        <w:numPr>
          <w:ilvl w:val="0"/>
          <w:numId w:val="2"/>
        </w:numPr>
      </w:pPr>
      <w:r>
        <w:t xml:space="preserve">Multiple concurrent sessions from different locations</w:t>
      </w:r>
    </w:p>
    <w:p>
      <w:pPr>
        <w:pStyle w:val="Heading1"/>
      </w:pPr>
      <w:r>
        <w:t xml:space="preserve">6. Implementation Procedures</w:t>
      </w:r>
    </w:p>
    <w:p>
      <w:r>
        <w:t xml:space="preserve">This section provides detailed procedures for implementing the BYOD data protection strategy across different platforms and administrative interfaces.</w:t>
      </w:r>
    </w:p>
    <w:p>
      <w:pPr>
        <w:pStyle w:val="Heading2"/>
      </w:pPr>
      <w:r>
        <w:t xml:space="preserve">6.1 Windows 365 Configuration</w:t>
      </w:r>
    </w:p>
    <w:p>
      <w:pPr>
        <w:pStyle w:val="Heading3"/>
      </w:pPr>
      <w:r>
        <w:t xml:space="preserve">6.1.1 Prerequisites</w:t>
      </w:r>
    </w:p>
    <w:p>
      <w:pPr>
        <w:pStyle w:val="ListParagraph"/>
        <w:numPr>
          <w:ilvl w:val="0"/>
          <w:numId w:val="2"/>
        </w:numPr>
      </w:pPr>
      <w:r>
        <w:t xml:space="preserve">Windows 365 Business or Enterprise subscription</w:t>
      </w:r>
    </w:p>
    <w:p>
      <w:pPr>
        <w:pStyle w:val="ListParagraph"/>
        <w:numPr>
          <w:ilvl w:val="0"/>
          <w:numId w:val="2"/>
        </w:numPr>
      </w:pPr>
      <w:r>
        <w:t xml:space="preserve">Microsoft Intune subscription for Cloud PC management</w:t>
      </w:r>
    </w:p>
    <w:p>
      <w:pPr>
        <w:pStyle w:val="ListParagraph"/>
        <w:numPr>
          <w:ilvl w:val="0"/>
          <w:numId w:val="2"/>
        </w:numPr>
      </w:pPr>
      <w:r>
        <w:t xml:space="preserve">Duo Security subscription and administrative access</w:t>
      </w:r>
    </w:p>
    <w:p>
      <w:pPr>
        <w:pStyle w:val="ListParagraph"/>
        <w:numPr>
          <w:ilvl w:val="0"/>
          <w:numId w:val="2"/>
        </w:numPr>
      </w:pPr>
      <w:r>
        <w:t xml:space="preserve">Global Administrator or Intune Administrator role</w:t>
      </w:r>
    </w:p>
    <w:p>
      <w:pPr>
        <w:pStyle w:val="Heading3"/>
      </w:pPr>
      <w:r>
        <w:t xml:space="preserve">6.1.2 Device Redirection Configuration</w:t>
      </w:r>
    </w:p>
    <w:p>
      <w:pPr>
        <w:pStyle w:val="ListParagraph"/>
        <w:numPr>
          <w:ilvl w:val="0"/>
          <w:numId w:val="3"/>
        </w:numPr>
      </w:pPr>
      <w:r>
        <w:t xml:space="preserve">Navigate to Microsoft Intune admin center (https://intune.microsoft.com)</w:t>
      </w:r>
    </w:p>
    <w:p>
      <w:pPr>
        <w:pStyle w:val="ListParagraph"/>
        <w:numPr>
          <w:ilvl w:val="0"/>
          <w:numId w:val="3"/>
        </w:numPr>
      </w:pPr>
      <w:r>
        <w:t xml:space="preserve">Select 'Devices' &gt; 'Windows 365' &gt; 'Provisioning policies'</w:t>
      </w:r>
    </w:p>
    <w:p>
      <w:pPr>
        <w:pStyle w:val="ListParagraph"/>
        <w:numPr>
          <w:ilvl w:val="0"/>
          <w:numId w:val="3"/>
        </w:numPr>
      </w:pPr>
      <w:r>
        <w:t xml:space="preserve">Create new policy or edit existing BYOD-specific provisioning policy</w:t>
      </w:r>
    </w:p>
    <w:p>
      <w:pPr>
        <w:pStyle w:val="ListParagraph"/>
        <w:numPr>
          <w:ilvl w:val="0"/>
          <w:numId w:val="3"/>
        </w:numPr>
      </w:pPr>
      <w:r>
        <w:t xml:space="preserve">Configure device redirection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val="clear"/>
            <w:tcMar>
              <w:top w:type="dxa" w:w="80"/>
              <w:left w:type="dxa" w:w="120"/>
              <w:bottom w:type="dxa" w:w="80"/>
              <w:right w:type="dxa" w:w="120"/>
            </w:tcMar>
          </w:tcPr>
          <w:p>
            <w:r>
              <w:rPr>
                <w:b/>
                <w:bCs/>
              </w:rPr>
              <w:t xml:space="preserve">Setting</w:t>
            </w:r>
          </w:p>
        </w:tc>
        <w:tc>
          <w:tcPr>
            <w:tcW w:type="dxa" w:w="4680"/>
            <w:shd w:fill="D5E8F0" w:val="clear"/>
            <w:tcMar>
              <w:top w:type="dxa" w:w="80"/>
              <w:left w:type="dxa" w:w="120"/>
              <w:bottom w:type="dxa" w:w="80"/>
              <w:right w:type="dxa" w:w="120"/>
            </w:tcMar>
          </w:tcPr>
          <w:p>
            <w:r>
              <w:rPr>
                <w:b/>
                <w:bCs/>
              </w:rPr>
              <w:t xml:space="preserve">Configuration</w:t>
            </w:r>
          </w:p>
        </w:tc>
      </w:tr>
      <w:tr>
        <w:tc>
          <w:tcPr>
            <w:tcW w:type="dxa" w:w="4680"/>
            <w:tcMar>
              <w:top w:type="dxa" w:w="80"/>
              <w:left w:type="dxa" w:w="120"/>
              <w:bottom w:type="dxa" w:w="80"/>
              <w:right w:type="dxa" w:w="120"/>
            </w:tcMar>
          </w:tcPr>
          <w:p>
            <w:r>
              <w:t xml:space="preserve">Enable device redirection</w:t>
            </w:r>
          </w:p>
        </w:tc>
        <w:tc>
          <w:tcPr>
            <w:tcW w:type="dxa" w:w="4680"/>
            <w:tcMar>
              <w:top w:type="dxa" w:w="80"/>
              <w:left w:type="dxa" w:w="120"/>
              <w:bottom w:type="dxa" w:w="80"/>
              <w:right w:type="dxa" w:w="120"/>
            </w:tcMar>
          </w:tcPr>
          <w:p>
            <w:r>
              <w:t xml:space="preserve">Disabled</w:t>
            </w:r>
          </w:p>
        </w:tc>
      </w:tr>
      <w:tr>
        <w:tc>
          <w:tcPr>
            <w:tcW w:type="dxa" w:w="4680"/>
            <w:tcMar>
              <w:top w:type="dxa" w:w="80"/>
              <w:left w:type="dxa" w:w="120"/>
              <w:bottom w:type="dxa" w:w="80"/>
              <w:right w:type="dxa" w:w="120"/>
            </w:tcMar>
          </w:tcPr>
          <w:p>
            <w:r>
              <w:t xml:space="preserve">Enable printer redirection</w:t>
            </w:r>
          </w:p>
        </w:tc>
        <w:tc>
          <w:tcPr>
            <w:tcW w:type="dxa" w:w="4680"/>
            <w:tcMar>
              <w:top w:type="dxa" w:w="80"/>
              <w:left w:type="dxa" w:w="120"/>
              <w:bottom w:type="dxa" w:w="80"/>
              <w:right w:type="dxa" w:w="120"/>
            </w:tcMar>
          </w:tcPr>
          <w:p>
            <w:r>
              <w:t xml:space="preserve">Disabled</w:t>
            </w:r>
          </w:p>
        </w:tc>
      </w:tr>
      <w:tr>
        <w:tc>
          <w:tcPr>
            <w:tcW w:type="dxa" w:w="4680"/>
            <w:tcMar>
              <w:top w:type="dxa" w:w="80"/>
              <w:left w:type="dxa" w:w="120"/>
              <w:bottom w:type="dxa" w:w="80"/>
              <w:right w:type="dxa" w:w="120"/>
            </w:tcMar>
          </w:tcPr>
          <w:p>
            <w:r>
              <w:t xml:space="preserve">Enable clipboard redirection</w:t>
            </w:r>
          </w:p>
        </w:tc>
        <w:tc>
          <w:tcPr>
            <w:tcW w:type="dxa" w:w="4680"/>
            <w:tcMar>
              <w:top w:type="dxa" w:w="80"/>
              <w:left w:type="dxa" w:w="120"/>
              <w:bottom w:type="dxa" w:w="80"/>
              <w:right w:type="dxa" w:w="120"/>
            </w:tcMar>
          </w:tcPr>
          <w:p>
            <w:r>
              <w:t xml:space="preserve">Disabled</w:t>
            </w:r>
          </w:p>
        </w:tc>
      </w:tr>
      <w:tr>
        <w:tc>
          <w:tcPr>
            <w:tcW w:type="dxa" w:w="4680"/>
            <w:tcMar>
              <w:top w:type="dxa" w:w="80"/>
              <w:left w:type="dxa" w:w="120"/>
              <w:bottom w:type="dxa" w:w="80"/>
              <w:right w:type="dxa" w:w="120"/>
            </w:tcMar>
          </w:tcPr>
          <w:p>
            <w:r>
              <w:t xml:space="preserve">Session timeout (minutes)</w:t>
            </w:r>
          </w:p>
        </w:tc>
        <w:tc>
          <w:tcPr>
            <w:tcW w:type="dxa" w:w="4680"/>
            <w:tcMar>
              <w:top w:type="dxa" w:w="80"/>
              <w:left w:type="dxa" w:w="120"/>
              <w:bottom w:type="dxa" w:w="80"/>
              <w:right w:type="dxa" w:w="120"/>
            </w:tcMar>
          </w:tcPr>
          <w:p>
            <w:r>
              <w:t xml:space="preserve">30</w:t>
            </w:r>
          </w:p>
        </w:tc>
      </w:tr>
    </w:tbl>
    <w:p>
      <w:pPr>
        <w:pStyle w:val="ListParagraph"/>
        <w:numPr>
          <w:ilvl w:val="0"/>
          <w:numId w:val="3"/>
        </w:numPr>
      </w:pPr>
      <w:r>
        <w:t xml:space="preserve">Assign policy to appropriate user groups (BYOD users)</w:t>
      </w:r>
    </w:p>
    <w:p>
      <w:pPr>
        <w:pStyle w:val="ListParagraph"/>
        <w:numPr>
          <w:ilvl w:val="0"/>
          <w:numId w:val="3"/>
        </w:numPr>
      </w:pPr>
      <w:r>
        <w:t xml:space="preserve">Save and deploy configuration</w:t>
      </w:r>
    </w:p>
    <w:p>
      <w:pPr>
        <w:pStyle w:val="Heading2"/>
      </w:pPr>
      <w:r>
        <w:t xml:space="preserve">6.2 Mobile Device Enrollment</w:t>
      </w:r>
    </w:p>
    <w:p>
      <w:pPr>
        <w:pStyle w:val="Heading3"/>
      </w:pPr>
      <w:r>
        <w:t xml:space="preserve">6.2.1 iOS Device Enrollment</w:t>
      </w:r>
    </w:p>
    <w:p>
      <w:pPr>
        <w:pStyle w:val="ListParagraph"/>
        <w:numPr>
          <w:ilvl w:val="0"/>
          <w:numId w:val="3"/>
        </w:numPr>
      </w:pPr>
      <w:r>
        <w:t xml:space="preserve">User downloads Microsoft Authenticator from App Store</w:t>
      </w:r>
    </w:p>
    <w:p>
      <w:pPr>
        <w:pStyle w:val="ListParagraph"/>
        <w:numPr>
          <w:ilvl w:val="0"/>
          <w:numId w:val="3"/>
        </w:numPr>
      </w:pPr>
      <w:r>
        <w:t xml:space="preserve">User signs in with corporate credentials</w:t>
      </w:r>
    </w:p>
    <w:p>
      <w:pPr>
        <w:pStyle w:val="ListParagraph"/>
        <w:numPr>
          <w:ilvl w:val="0"/>
          <w:numId w:val="3"/>
        </w:numPr>
      </w:pPr>
      <w:r>
        <w:t xml:space="preserve">System prompts for device enrollment in Intune</w:t>
      </w:r>
    </w:p>
    <w:p>
      <w:pPr>
        <w:pStyle w:val="ListParagraph"/>
        <w:numPr>
          <w:ilvl w:val="0"/>
          <w:numId w:val="3"/>
        </w:numPr>
      </w:pPr>
      <w:r>
        <w:t xml:space="preserve">User accepts enrollment and installs management profile</w:t>
      </w:r>
    </w:p>
    <w:p>
      <w:pPr>
        <w:pStyle w:val="ListParagraph"/>
        <w:numPr>
          <w:ilvl w:val="0"/>
          <w:numId w:val="3"/>
        </w:numPr>
      </w:pPr>
      <w:r>
        <w:t xml:space="preserve">Device compliance evaluation begins automatically</w:t>
      </w:r>
    </w:p>
    <w:p>
      <w:pPr>
        <w:pStyle w:val="Heading3"/>
      </w:pPr>
      <w:r>
        <w:t xml:space="preserve">6.2.2 Android Device Enrollment</w:t>
      </w:r>
    </w:p>
    <w:p>
      <w:pPr>
        <w:pStyle w:val="ListParagraph"/>
        <w:numPr>
          <w:ilvl w:val="0"/>
          <w:numId w:val="3"/>
        </w:numPr>
      </w:pPr>
      <w:r>
        <w:t xml:space="preserve">User downloads Microsoft Authenticator from Google Play Store</w:t>
      </w:r>
    </w:p>
    <w:p>
      <w:pPr>
        <w:pStyle w:val="ListParagraph"/>
        <w:numPr>
          <w:ilvl w:val="0"/>
          <w:numId w:val="3"/>
        </w:numPr>
      </w:pPr>
      <w:r>
        <w:t xml:space="preserve">User signs in with corporate credentials</w:t>
      </w:r>
    </w:p>
    <w:p>
      <w:pPr>
        <w:pStyle w:val="ListParagraph"/>
        <w:numPr>
          <w:ilvl w:val="0"/>
          <w:numId w:val="3"/>
        </w:numPr>
      </w:pPr>
      <w:r>
        <w:t xml:space="preserve">System prompts for Company Portal installation</w:t>
      </w:r>
    </w:p>
    <w:p>
      <w:pPr>
        <w:pStyle w:val="ListParagraph"/>
        <w:numPr>
          <w:ilvl w:val="0"/>
          <w:numId w:val="3"/>
        </w:numPr>
      </w:pPr>
      <w:r>
        <w:t xml:space="preserve">User completes enrollment through Company Portal</w:t>
      </w:r>
    </w:p>
    <w:p>
      <w:pPr>
        <w:pStyle w:val="ListParagraph"/>
        <w:numPr>
          <w:ilvl w:val="0"/>
          <w:numId w:val="3"/>
        </w:numPr>
      </w:pPr>
      <w:r>
        <w:t xml:space="preserve">Device compliance policies applied and evaluated</w:t>
      </w:r>
    </w:p>
    <w:p>
      <w:pPr>
        <w:pStyle w:val="Heading2"/>
      </w:pPr>
      <w:r>
        <w:t xml:space="preserve">6.3 Duo Security Integration</w:t>
      </w:r>
    </w:p>
    <w:p>
      <w:pPr>
        <w:pStyle w:val="Heading3"/>
      </w:pPr>
      <w:r>
        <w:t xml:space="preserve">6.3.1 Duo Configuration</w:t>
      </w:r>
    </w:p>
    <w:p>
      <w:pPr>
        <w:pStyle w:val="ListParagraph"/>
        <w:numPr>
          <w:ilvl w:val="0"/>
          <w:numId w:val="3"/>
        </w:numPr>
      </w:pPr>
      <w:r>
        <w:t xml:space="preserve">Access Duo Admin Panel (https://admin.duosecurity.com)</w:t>
      </w:r>
    </w:p>
    <w:p>
      <w:pPr>
        <w:pStyle w:val="ListParagraph"/>
        <w:numPr>
          <w:ilvl w:val="0"/>
          <w:numId w:val="3"/>
        </w:numPr>
      </w:pPr>
      <w:r>
        <w:t xml:space="preserve">Navigate to 'Applications' and select Windows 365 integration</w:t>
      </w:r>
    </w:p>
    <w:p>
      <w:pPr>
        <w:pStyle w:val="ListParagraph"/>
        <w:numPr>
          <w:ilvl w:val="0"/>
          <w:numId w:val="3"/>
        </w:numPr>
      </w:pPr>
      <w:r>
        <w:t xml:space="preserve">Configure authentication policy with hourly prompts</w:t>
      </w:r>
    </w:p>
    <w:p>
      <w:pPr>
        <w:pStyle w:val="ListParagraph"/>
        <w:numPr>
          <w:ilvl w:val="0"/>
          <w:numId w:val="3"/>
        </w:numPr>
      </w:pPr>
      <w:r>
        <w:t xml:space="preserve">Set maximum session duration to 8 hours</w:t>
      </w:r>
    </w:p>
    <w:p>
      <w:pPr>
        <w:pStyle w:val="ListParagraph"/>
        <w:numPr>
          <w:ilvl w:val="0"/>
          <w:numId w:val="3"/>
        </w:numPr>
      </w:pPr>
      <w:r>
        <w:t xml:space="preserve">Enable risk-based authentication triggers</w:t>
      </w:r>
    </w:p>
    <w:p>
      <w:pPr>
        <w:pStyle w:val="Heading2"/>
      </w:pPr>
      <w:r>
        <w:t xml:space="preserve">6.4 Screen Lock and Timeout Configuration</w:t>
      </w:r>
    </w:p>
    <w:p>
      <w:pPr>
        <w:pStyle w:val="Heading3"/>
      </w:pPr>
      <w:r>
        <w:t xml:space="preserve">6.4.1 Group Policy Configuration</w:t>
      </w:r>
    </w:p>
    <w:p>
      <w:pPr>
        <w:pStyle w:val="ListParagraph"/>
        <w:numPr>
          <w:ilvl w:val="0"/>
          <w:numId w:val="3"/>
        </w:numPr>
      </w:pPr>
      <w:r>
        <w:t xml:space="preserve">Open Group Policy Management Console (gpmc.msc) on domain controller</w:t>
      </w:r>
    </w:p>
    <w:p>
      <w:pPr>
        <w:pStyle w:val="ListParagraph"/>
        <w:numPr>
          <w:ilvl w:val="0"/>
          <w:numId w:val="3"/>
        </w:numPr>
      </w:pPr>
      <w:r>
        <w:t xml:space="preserve">Create or edit GPO for Windows 365 Cloud PC organizational unit</w:t>
      </w:r>
    </w:p>
    <w:p>
      <w:pPr>
        <w:pStyle w:val="ListParagraph"/>
        <w:numPr>
          <w:ilvl w:val="0"/>
          <w:numId w:val="3"/>
        </w:numPr>
      </w:pPr>
      <w:r>
        <w:t xml:space="preserve">Navigate to Computer Configuration &gt; Administrative Templates &gt; Control Panel &gt; Display</w:t>
      </w:r>
    </w:p>
    <w:p>
      <w:pPr>
        <w:pStyle w:val="ListParagraph"/>
        <w:numPr>
          <w:ilvl w:val="0"/>
          <w:numId w:val="3"/>
        </w:numPr>
      </w:pPr>
      <w:r>
        <w:t xml:space="preserve">Configure the following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shd w:fill="D5E8F0" w:val="clear"/>
            <w:tcMar>
              <w:top w:type="dxa" w:w="80"/>
              <w:left w:type="dxa" w:w="120"/>
              <w:bottom w:type="dxa" w:w="80"/>
              <w:right w:type="dxa" w:w="120"/>
            </w:tcMar>
          </w:tcPr>
          <w:p>
            <w:r>
              <w:rPr>
                <w:b/>
                <w:bCs/>
              </w:rPr>
              <w:t xml:space="preserve">Policy Setting</w:t>
            </w:r>
          </w:p>
        </w:tc>
        <w:tc>
          <w:tcPr>
            <w:tcW w:type="dxa" w:w="3744"/>
            <w:shd w:fill="D5E8F0" w:val="clear"/>
            <w:tcMar>
              <w:top w:type="dxa" w:w="80"/>
              <w:left w:type="dxa" w:w="120"/>
              <w:bottom w:type="dxa" w:w="80"/>
              <w:right w:type="dxa" w:w="120"/>
            </w:tcMar>
          </w:tcPr>
          <w:p>
            <w:r>
              <w:rPr>
                <w:b/>
                <w:bCs/>
              </w:rPr>
              <w:t xml:space="preserve">Value</w:t>
            </w:r>
          </w:p>
        </w:tc>
      </w:tr>
      <w:tr>
        <w:tc>
          <w:tcPr>
            <w:tcW w:type="dxa" w:w="5616"/>
            <w:tcMar>
              <w:top w:type="dxa" w:w="80"/>
              <w:left w:type="dxa" w:w="120"/>
              <w:bottom w:type="dxa" w:w="80"/>
              <w:right w:type="dxa" w:w="120"/>
            </w:tcMar>
          </w:tcPr>
          <w:p>
            <w:r>
              <w:t xml:space="preserve">Screen saver timeout (seconds)</w:t>
            </w:r>
          </w:p>
        </w:tc>
        <w:tc>
          <w:tcPr>
            <w:tcW w:type="dxa" w:w="3744"/>
            <w:tcMar>
              <w:top w:type="dxa" w:w="80"/>
              <w:left w:type="dxa" w:w="120"/>
              <w:bottom w:type="dxa" w:w="80"/>
              <w:right w:type="dxa" w:w="120"/>
            </w:tcMar>
          </w:tcPr>
          <w:p>
            <w:r>
              <w:t xml:space="preserve">600 (10 minutes)</w:t>
            </w:r>
          </w:p>
        </w:tc>
      </w:tr>
      <w:tr>
        <w:tc>
          <w:tcPr>
            <w:tcW w:type="dxa" w:w="5616"/>
            <w:tcMar>
              <w:top w:type="dxa" w:w="80"/>
              <w:left w:type="dxa" w:w="120"/>
              <w:bottom w:type="dxa" w:w="80"/>
              <w:right w:type="dxa" w:w="120"/>
            </w:tcMar>
          </w:tcPr>
          <w:p>
            <w:r>
              <w:t xml:space="preserve">Password protect the screen saver</w:t>
            </w:r>
          </w:p>
        </w:tc>
        <w:tc>
          <w:tcPr>
            <w:tcW w:type="dxa" w:w="3744"/>
            <w:tcMar>
              <w:top w:type="dxa" w:w="80"/>
              <w:left w:type="dxa" w:w="120"/>
              <w:bottom w:type="dxa" w:w="80"/>
              <w:right w:type="dxa" w:w="120"/>
            </w:tcMar>
          </w:tcPr>
          <w:p>
            <w:r>
              <w:t xml:space="preserve">Enabled</w:t>
            </w:r>
          </w:p>
        </w:tc>
      </w:tr>
      <w:tr>
        <w:tc>
          <w:tcPr>
            <w:tcW w:type="dxa" w:w="5616"/>
            <w:tcMar>
              <w:top w:type="dxa" w:w="80"/>
              <w:left w:type="dxa" w:w="120"/>
              <w:bottom w:type="dxa" w:w="80"/>
              <w:right w:type="dxa" w:w="120"/>
            </w:tcMar>
          </w:tcPr>
          <w:p>
            <w:r>
              <w:t xml:space="preserve">Force specific screen saver</w:t>
            </w:r>
          </w:p>
        </w:tc>
        <w:tc>
          <w:tcPr>
            <w:tcW w:type="dxa" w:w="3744"/>
            <w:tcMar>
              <w:top w:type="dxa" w:w="80"/>
              <w:left w:type="dxa" w:w="120"/>
              <w:bottom w:type="dxa" w:w="80"/>
              <w:right w:type="dxa" w:w="120"/>
            </w:tcMar>
          </w:tcPr>
          <w:p>
            <w:r>
              <w:t xml:space="preserve">scrnsave.scr</w:t>
            </w:r>
          </w:p>
        </w:tc>
      </w:tr>
    </w:tbl>
    <w:p>
      <w:pPr>
        <w:pStyle w:val="ListParagraph"/>
        <w:numPr>
          <w:ilvl w:val="0"/>
          <w:numId w:val="3"/>
        </w:numPr>
      </w:pPr>
      <w:r>
        <w:t xml:space="preserve">Configure automatic workstation lock policy</w:t>
      </w:r>
    </w:p>
    <w:p>
      <w:pPr>
        <w:pStyle w:val="ListParagraph"/>
        <w:numPr>
          <w:ilvl w:val="0"/>
          <w:numId w:val="3"/>
        </w:numPr>
      </w:pPr>
      <w:r>
        <w:t xml:space="preserve">Navigate to Computer Configuration &gt; Windows Settings &gt; Security Settings &gt; Local Policies &gt; Security Options</w:t>
      </w:r>
    </w:p>
    <w:p>
      <w:pPr>
        <w:pStyle w:val="ListParagraph"/>
        <w:numPr>
          <w:ilvl w:val="0"/>
          <w:numId w:val="3"/>
        </w:numPr>
      </w:pPr>
      <w:r>
        <w:t xml:space="preserve">Enable 'Interactive logon: Machine inactivity limit' and set to 900 seconds (15 minutes)</w:t>
      </w:r>
    </w:p>
    <w:p>
      <w:pPr>
        <w:pStyle w:val="Heading2"/>
      </w:pPr>
      <w:r>
        <w:t xml:space="preserve">6.5 Network Filtering Configuration</w:t>
      </w:r>
    </w:p>
    <w:p>
      <w:pPr>
        <w:pStyle w:val="Heading3"/>
      </w:pPr>
      <w:r>
        <w:t xml:space="preserve">6.5.1 Windows Defender Firewall Configuration</w:t>
      </w:r>
    </w:p>
    <w:p>
      <w:pPr>
        <w:pStyle w:val="ListParagraph"/>
        <w:numPr>
          <w:ilvl w:val="0"/>
          <w:numId w:val="3"/>
        </w:numPr>
      </w:pPr>
      <w:r>
        <w:t xml:space="preserve">Open Group Policy Management Console (gpmc.msc)</w:t>
      </w:r>
    </w:p>
    <w:p>
      <w:pPr>
        <w:pStyle w:val="ListParagraph"/>
        <w:numPr>
          <w:ilvl w:val="0"/>
          <w:numId w:val="3"/>
        </w:numPr>
      </w:pPr>
      <w:r>
        <w:t xml:space="preserve">Navigate to Computer Configuration &gt; Windows Settings &gt; Security Settings &gt; Windows Defender Firewall with Advanced Security</w:t>
      </w:r>
    </w:p>
    <w:p>
      <w:pPr>
        <w:pStyle w:val="ListParagraph"/>
        <w:numPr>
          <w:ilvl w:val="0"/>
          <w:numId w:val="3"/>
        </w:numPr>
      </w:pPr>
      <w:r>
        <w:t xml:space="preserve">Create outbound rules to block access to unauthorized services</w:t>
      </w:r>
    </w:p>
    <w:p>
      <w:pPr>
        <w:spacing w:before="240"/>
      </w:pPr>
      <w:r>
        <w:rPr>
          <w:b/>
          <w:bCs/>
        </w:rPr>
        <w:t xml:space="preserve">PowerShell Script for Bulk Firewall Rule Creation:</w:t>
      </w:r>
    </w:p>
    <w:p>
      <w:r>
        <w:rPr>
          <w:rFonts w:ascii="Consolas" w:cs="Consolas" w:eastAsia="Consolas" w:hAnsi="Consolas"/>
          <w:sz w:val="18"/>
          <w:szCs w:val="18"/>
        </w:rPr>
        <w:t xml:space="preserve"># Create firewall rules to block data exfiltration sites
$BlockedDomains = @(
    "dropbox.com", "drive.google.com", "icloud.com",
    "pastebin.com", "github.io", "wetransfer.com",
    "gmail.com", "yahoo.com", "outlook.com"
)
foreach ($domain in $BlockedDomains) {
    New-NetFirewallRule -DisplayName "Block $domain" `
        -Direction Outbound -Protocol TCP `
        -RemoteAddress $domain -Action Block `
        -Profile Domain,Private,Public
}
# Block common file sharing ports
$BlockedPorts = @(1433, 3389, 5900, 22, 21, 80, 443)
foreach ($port in $BlockedPorts) {
    New-NetFirewallRule -DisplayName "Block Port $port" `
        -Direction Outbound -Protocol TCP `
        -RemotePort $port -Action Block `
        -Profile Domain,Private,Public
}</w:t>
      </w:r>
    </w:p>
    <w:p>
      <w:pPr>
        <w:pStyle w:val="Heading3"/>
      </w:pPr>
      <w:r>
        <w:t xml:space="preserve">6.5.2 DNS Filtering Configuration</w:t>
      </w:r>
    </w:p>
    <w:p>
      <w:pPr>
        <w:pStyle w:val="ListParagraph"/>
        <w:numPr>
          <w:ilvl w:val="0"/>
          <w:numId w:val="3"/>
        </w:numPr>
      </w:pPr>
      <w:r>
        <w:t xml:space="preserve">Configure custom DNS servers in Group Policy</w:t>
      </w:r>
    </w:p>
    <w:p>
      <w:pPr>
        <w:pStyle w:val="ListParagraph"/>
        <w:numPr>
          <w:ilvl w:val="0"/>
          <w:numId w:val="3"/>
        </w:numPr>
      </w:pPr>
      <w:r>
        <w:t xml:space="preserve">Navigate to Computer Configuration &gt; Administrative Templates &gt; Network &gt; DNS Client</w:t>
      </w:r>
    </w:p>
    <w:p>
      <w:pPr>
        <w:pStyle w:val="ListParagraph"/>
        <w:numPr>
          <w:ilvl w:val="0"/>
          <w:numId w:val="3"/>
        </w:numPr>
      </w:pPr>
      <w:r>
        <w:t xml:space="preserve">Set 'Configure DNS suffixes' and specify corporate DNS servers</w:t>
      </w:r>
    </w:p>
    <w:p>
      <w:pPr>
        <w:pStyle w:val="ListParagraph"/>
        <w:numPr>
          <w:ilvl w:val="0"/>
          <w:numId w:val="3"/>
        </w:numPr>
      </w:pPr>
      <w:r>
        <w:t xml:space="preserve">Implement DNS sinkhole for blocked domains</w:t>
      </w:r>
    </w:p>
    <w:p>
      <w:pPr>
        <w:pStyle w:val="Heading3"/>
      </w:pPr>
      <w:r>
        <w:t xml:space="preserve">6.5.3 Web Browser Restrictions</w:t>
      </w:r>
    </w:p>
    <w:p>
      <w:pPr>
        <w:pStyle w:val="ListParagraph"/>
        <w:numPr>
          <w:ilvl w:val="0"/>
          <w:numId w:val="3"/>
        </w:numPr>
      </w:pPr>
      <w:r>
        <w:t xml:space="preserve">Configure Microsoft Edge for Business policies</w:t>
      </w:r>
    </w:p>
    <w:p>
      <w:pPr>
        <w:pStyle w:val="ListParagraph"/>
        <w:numPr>
          <w:ilvl w:val="0"/>
          <w:numId w:val="3"/>
        </w:numPr>
      </w:pPr>
      <w:r>
        <w:t xml:space="preserve">Navigate to Computer Configuration &gt; Administrative Templates &gt; Microsoft Edge</w:t>
      </w:r>
    </w:p>
    <w:p>
      <w:pPr>
        <w:pStyle w:val="ListParagraph"/>
        <w:numPr>
          <w:ilvl w:val="0"/>
          <w:numId w:val="3"/>
        </w:numPr>
      </w:pPr>
      <w:r>
        <w:t xml:space="preserve">Configure URL blacklist and category blocking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shd w:fill="D5E8F0" w:val="clear"/>
            <w:tcMar>
              <w:top w:type="dxa" w:w="80"/>
              <w:left w:type="dxa" w:w="120"/>
              <w:bottom w:type="dxa" w:w="80"/>
              <w:right w:type="dxa" w:w="120"/>
            </w:tcMar>
          </w:tcPr>
          <w:p>
            <w:r>
              <w:rPr>
                <w:b/>
                <w:bCs/>
              </w:rPr>
              <w:t xml:space="preserve">Edge Policy</w:t>
            </w:r>
          </w:p>
        </w:tc>
        <w:tc>
          <w:tcPr>
            <w:tcW w:type="dxa" w:w="3744"/>
            <w:shd w:fill="D5E8F0" w:val="clear"/>
            <w:tcMar>
              <w:top w:type="dxa" w:w="80"/>
              <w:left w:type="dxa" w:w="120"/>
              <w:bottom w:type="dxa" w:w="80"/>
              <w:right w:type="dxa" w:w="120"/>
            </w:tcMar>
          </w:tcPr>
          <w:p>
            <w:r>
              <w:rPr>
                <w:b/>
                <w:bCs/>
              </w:rPr>
              <w:t xml:space="preserve">Configuration</w:t>
            </w:r>
          </w:p>
        </w:tc>
      </w:tr>
      <w:tr>
        <w:tc>
          <w:tcPr>
            <w:tcW w:type="dxa" w:w="5616"/>
            <w:tcMar>
              <w:top w:type="dxa" w:w="80"/>
              <w:left w:type="dxa" w:w="120"/>
              <w:bottom w:type="dxa" w:w="80"/>
              <w:right w:type="dxa" w:w="120"/>
            </w:tcMar>
          </w:tcPr>
          <w:p>
            <w:r>
              <w:t xml:space="preserve">URLBlocklist</w:t>
            </w:r>
          </w:p>
        </w:tc>
        <w:tc>
          <w:tcPr>
            <w:tcW w:type="dxa" w:w="3744"/>
            <w:tcMar>
              <w:top w:type="dxa" w:w="80"/>
              <w:left w:type="dxa" w:w="120"/>
              <w:bottom w:type="dxa" w:w="80"/>
              <w:right w:type="dxa" w:w="120"/>
            </w:tcMar>
          </w:tcPr>
          <w:p>
            <w:r>
              <w:t xml:space="preserve">Enable with domain list</w:t>
            </w:r>
          </w:p>
        </w:tc>
      </w:tr>
      <w:tr>
        <w:tc>
          <w:tcPr>
            <w:tcW w:type="dxa" w:w="5616"/>
            <w:tcMar>
              <w:top w:type="dxa" w:w="80"/>
              <w:left w:type="dxa" w:w="120"/>
              <w:bottom w:type="dxa" w:w="80"/>
              <w:right w:type="dxa" w:w="120"/>
            </w:tcMar>
          </w:tcPr>
          <w:p>
            <w:r>
              <w:t xml:space="preserve">DownloadRestrictions</w:t>
            </w:r>
          </w:p>
        </w:tc>
        <w:tc>
          <w:tcPr>
            <w:tcW w:type="dxa" w:w="3744"/>
            <w:tcMar>
              <w:top w:type="dxa" w:w="80"/>
              <w:left w:type="dxa" w:w="120"/>
              <w:bottom w:type="dxa" w:w="80"/>
              <w:right w:type="dxa" w:w="120"/>
            </w:tcMar>
          </w:tcPr>
          <w:p>
            <w:r>
              <w:t xml:space="preserve">Block dangerous downloads</w:t>
            </w:r>
          </w:p>
        </w:tc>
      </w:tr>
      <w:tr>
        <w:tc>
          <w:tcPr>
            <w:tcW w:type="dxa" w:w="5616"/>
            <w:tcMar>
              <w:top w:type="dxa" w:w="80"/>
              <w:left w:type="dxa" w:w="120"/>
              <w:bottom w:type="dxa" w:w="80"/>
              <w:right w:type="dxa" w:w="120"/>
            </w:tcMar>
          </w:tcPr>
          <w:p>
            <w:r>
              <w:t xml:space="preserve">SmartScreenEnabled</w:t>
            </w:r>
          </w:p>
        </w:tc>
        <w:tc>
          <w:tcPr>
            <w:tcW w:type="dxa" w:w="3744"/>
            <w:tcMar>
              <w:top w:type="dxa" w:w="80"/>
              <w:left w:type="dxa" w:w="120"/>
              <w:bottom w:type="dxa" w:w="80"/>
              <w:right w:type="dxa" w:w="120"/>
            </w:tcMar>
          </w:tcPr>
          <w:p>
            <w:r>
              <w:t xml:space="preserve">Enabled</w:t>
            </w:r>
          </w:p>
        </w:tc>
      </w:tr>
      <w:tr>
        <w:tc>
          <w:tcPr>
            <w:tcW w:type="dxa" w:w="5616"/>
            <w:tcMar>
              <w:top w:type="dxa" w:w="80"/>
              <w:left w:type="dxa" w:w="120"/>
              <w:bottom w:type="dxa" w:w="80"/>
              <w:right w:type="dxa" w:w="120"/>
            </w:tcMar>
          </w:tcPr>
          <w:p>
            <w:r>
              <w:t xml:space="preserve">DefaultFileSystemReadGuard</w:t>
            </w:r>
          </w:p>
        </w:tc>
        <w:tc>
          <w:tcPr>
            <w:tcW w:type="dxa" w:w="3744"/>
            <w:tcMar>
              <w:top w:type="dxa" w:w="80"/>
              <w:left w:type="dxa" w:w="120"/>
              <w:bottom w:type="dxa" w:w="80"/>
              <w:right w:type="dxa" w:w="120"/>
            </w:tcMar>
          </w:tcPr>
          <w:p>
            <w:r>
              <w:t xml:space="preserve">Block</w:t>
            </w:r>
          </w:p>
        </w:tc>
      </w:tr>
    </w:tbl>
    <w:p>
      <w:pPr>
        <w:pStyle w:val="Heading1"/>
      </w:pPr>
      <w:r>
        <w:t xml:space="preserve">7. Monitoring and Compliance</w:t>
      </w:r>
    </w:p>
    <w:p>
      <w:r>
        <w:t xml:space="preserve">Continuous monitoring and compliance validation ensure the effectiveness of implemented security controls and provide visibility into potential security incidents.</w:t>
      </w:r>
    </w:p>
    <w:p>
      <w:pPr>
        <w:pStyle w:val="Heading2"/>
      </w:pPr>
      <w:r>
        <w:t xml:space="preserve">7.1 Monitoring Requirements</w:t>
      </w:r>
    </w:p>
    <w:p>
      <w:pPr>
        <w:spacing w:before="240"/>
      </w:pPr>
      <w:r>
        <w:rPr>
          <w:b/>
          <w:bCs/>
        </w:rPr>
        <w:t xml:space="preserve">Key Metrics to Monitor:</w:t>
      </w:r>
    </w:p>
    <w:p>
      <w:pPr>
        <w:pStyle w:val="ListParagraph"/>
        <w:numPr>
          <w:ilvl w:val="0"/>
          <w:numId w:val="2"/>
        </w:numPr>
      </w:pPr>
      <w:r>
        <w:t xml:space="preserve">Failed authentication attempts and patterns</w:t>
      </w:r>
    </w:p>
    <w:p>
      <w:pPr>
        <w:pStyle w:val="ListParagraph"/>
        <w:numPr>
          <w:ilvl w:val="0"/>
          <w:numId w:val="2"/>
        </w:numPr>
      </w:pPr>
      <w:r>
        <w:t xml:space="preserve">Device compliance status and violations</w:t>
      </w:r>
    </w:p>
    <w:p>
      <w:pPr>
        <w:pStyle w:val="ListParagraph"/>
        <w:numPr>
          <w:ilvl w:val="0"/>
          <w:numId w:val="2"/>
        </w:numPr>
      </w:pPr>
      <w:r>
        <w:t xml:space="preserve">Session duration and timeout events</w:t>
      </w:r>
    </w:p>
    <w:p>
      <w:pPr>
        <w:pStyle w:val="ListParagraph"/>
        <w:numPr>
          <w:ilvl w:val="0"/>
          <w:numId w:val="2"/>
        </w:numPr>
      </w:pPr>
      <w:r>
        <w:t xml:space="preserve">Geo-location anomalies and access patterns</w:t>
      </w:r>
    </w:p>
    <w:p>
      <w:pPr>
        <w:pStyle w:val="ListParagraph"/>
        <w:numPr>
          <w:ilvl w:val="0"/>
          <w:numId w:val="2"/>
        </w:numPr>
      </w:pPr>
      <w:r>
        <w:t xml:space="preserve">Policy violations and administrative overrides</w:t>
      </w:r>
    </w:p>
    <w:p>
      <w:pPr>
        <w:pStyle w:val="Heading2"/>
      </w:pPr>
      <w:r>
        <w:t xml:space="preserve">7.2 Compliance Validation</w:t>
      </w:r>
    </w:p>
    <w:p>
      <w:r>
        <w:t xml:space="preserve">Regular compliance audits validate that security controls remain effective and properly configured across all platforms and user populations.</w:t>
      </w:r>
    </w:p>
    <w:p>
      <w:pPr>
        <w:pStyle w:val="Heading1"/>
      </w:pPr>
      <w:r>
        <w:t xml:space="preserve">8. Risk Assessment Summary</w:t>
      </w:r>
    </w:p>
    <w:p>
      <w:r>
        <w:t xml:space="preserve">This section provides a comprehensive assessment of data exfiltration risks and the effectiveness of implemented security controls in the Windows 365 BYOD environment.</w:t>
      </w:r>
    </w:p>
    <w:p>
      <w:pPr>
        <w:pStyle w:val="Heading2"/>
      </w:pPr>
      <w:r>
        <w:t xml:space="preserve">8.1 Data Exfiltration Risk Analysis</w:t>
      </w:r>
    </w:p>
    <w:p>
      <w:r>
        <w:t xml:space="preserve">The following analysis evaluates potential data exfiltration pathways and the effectiveness of controls in preventing unauthorized data transfer from Windows 365 Cloud PCs to unmanaged personal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5E8F0" w:val="clear"/>
            <w:tcMar>
              <w:top w:type="dxa" w:w="80"/>
              <w:left w:type="dxa" w:w="120"/>
              <w:bottom w:type="dxa" w:w="80"/>
              <w:right w:type="dxa" w:w="120"/>
            </w:tcMar>
          </w:tcPr>
          <w:p>
            <w:r>
              <w:rPr>
                <w:b/>
                <w:bCs/>
              </w:rPr>
              <w:t xml:space="preserve">Risk Vector</w:t>
            </w:r>
          </w:p>
        </w:tc>
        <w:tc>
          <w:tcPr>
            <w:tcW w:type="dxa" w:w="2340"/>
            <w:shd w:fill="D5E8F0" w:val="clear"/>
            <w:tcMar>
              <w:top w:type="dxa" w:w="80"/>
              <w:left w:type="dxa" w:w="120"/>
              <w:bottom w:type="dxa" w:w="80"/>
              <w:right w:type="dxa" w:w="120"/>
            </w:tcMar>
          </w:tcPr>
          <w:p>
            <w:r>
              <w:rPr>
                <w:b/>
                <w:bCs/>
              </w:rPr>
              <w:t xml:space="preserve">Likelihood</w:t>
            </w:r>
          </w:p>
        </w:tc>
        <w:tc>
          <w:tcPr>
            <w:tcW w:type="dxa" w:w="2340"/>
            <w:shd w:fill="D5E8F0" w:val="clear"/>
            <w:tcMar>
              <w:top w:type="dxa" w:w="80"/>
              <w:left w:type="dxa" w:w="120"/>
              <w:bottom w:type="dxa" w:w="80"/>
              <w:right w:type="dxa" w:w="120"/>
            </w:tcMar>
          </w:tcPr>
          <w:p>
            <w:r>
              <w:rPr>
                <w:b/>
                <w:bCs/>
              </w:rPr>
              <w:t xml:space="preserve">Impact</w:t>
            </w:r>
          </w:p>
        </w:tc>
        <w:tc>
          <w:tcPr>
            <w:tcW w:type="dxa" w:w="2340"/>
            <w:shd w:fill="D5E8F0" w:val="clear"/>
            <w:tcMar>
              <w:top w:type="dxa" w:w="80"/>
              <w:left w:type="dxa" w:w="120"/>
              <w:bottom w:type="dxa" w:w="80"/>
              <w:right w:type="dxa" w:w="120"/>
            </w:tcMar>
          </w:tcPr>
          <w:p>
            <w:r>
              <w:rPr>
                <w:b/>
                <w:bCs/>
              </w:rPr>
              <w:t xml:space="preserve">Residual Risk</w:t>
            </w:r>
          </w:p>
        </w:tc>
      </w:tr>
      <w:tr>
        <w:tc>
          <w:tcPr>
            <w:tcW w:type="dxa" w:w="2340"/>
            <w:tcMar>
              <w:top w:type="dxa" w:w="80"/>
              <w:left w:type="dxa" w:w="120"/>
              <w:bottom w:type="dxa" w:w="80"/>
              <w:right w:type="dxa" w:w="120"/>
            </w:tcMar>
          </w:tcPr>
          <w:p>
            <w:r>
              <w:t xml:space="preserve">Device Redirection</w:t>
            </w:r>
          </w:p>
        </w:tc>
        <w:tc>
          <w:tcPr>
            <w:tcW w:type="dxa" w:w="2340"/>
            <w:tcMar>
              <w:top w:type="dxa" w:w="80"/>
              <w:left w:type="dxa" w:w="120"/>
              <w:bottom w:type="dxa" w:w="80"/>
              <w:right w:type="dxa" w:w="120"/>
            </w:tcMar>
          </w:tcPr>
          <w:p>
            <w:r>
              <w:rPr>
                <w:color w:val="28a745"/>
              </w:rPr>
              <w:t xml:space="preserve">Low</w:t>
            </w:r>
          </w:p>
        </w:tc>
        <w:tc>
          <w:tcPr>
            <w:tcW w:type="dxa" w:w="2340"/>
            <w:tcMar>
              <w:top w:type="dxa" w:w="80"/>
              <w:left w:type="dxa" w:w="120"/>
              <w:bottom w:type="dxa" w:w="80"/>
              <w:right w:type="dxa" w:w="120"/>
            </w:tcMar>
          </w:tcPr>
          <w:p>
            <w:r>
              <w:t xml:space="preserve">High</w:t>
            </w:r>
          </w:p>
        </w:tc>
        <w:tc>
          <w:tcPr>
            <w:tcW w:type="dxa" w:w="2340"/>
            <w:tcMar>
              <w:top w:type="dxa" w:w="80"/>
              <w:left w:type="dxa" w:w="120"/>
              <w:bottom w:type="dxa" w:w="80"/>
              <w:right w:type="dxa" w:w="120"/>
            </w:tcMar>
          </w:tcPr>
          <w:p>
            <w:r>
              <w:rPr>
                <w:color w:val="28a745"/>
              </w:rPr>
              <w:t xml:space="preserve">Low</w:t>
            </w:r>
          </w:p>
        </w:tc>
      </w:tr>
      <w:tr>
        <w:tc>
          <w:tcPr>
            <w:tcW w:type="dxa" w:w="2340"/>
            <w:tcMar>
              <w:top w:type="dxa" w:w="80"/>
              <w:left w:type="dxa" w:w="120"/>
              <w:bottom w:type="dxa" w:w="80"/>
              <w:right w:type="dxa" w:w="120"/>
            </w:tcMar>
          </w:tcPr>
          <w:p>
            <w:r>
              <w:t xml:space="preserve">Cloud Storage Upload</w:t>
            </w:r>
          </w:p>
        </w:tc>
        <w:tc>
          <w:tcPr>
            <w:tcW w:type="dxa" w:w="2340"/>
            <w:tcMar>
              <w:top w:type="dxa" w:w="80"/>
              <w:left w:type="dxa" w:w="120"/>
              <w:bottom w:type="dxa" w:w="80"/>
              <w:right w:type="dxa" w:w="120"/>
            </w:tcMar>
          </w:tcPr>
          <w:p>
            <w:r>
              <w:rPr>
                <w:color w:val="28a745"/>
              </w:rPr>
              <w:t xml:space="preserve">Low</w:t>
            </w:r>
          </w:p>
        </w:tc>
        <w:tc>
          <w:tcPr>
            <w:tcW w:type="dxa" w:w="2340"/>
            <w:tcMar>
              <w:top w:type="dxa" w:w="80"/>
              <w:left w:type="dxa" w:w="120"/>
              <w:bottom w:type="dxa" w:w="80"/>
              <w:right w:type="dxa" w:w="120"/>
            </w:tcMar>
          </w:tcPr>
          <w:p>
            <w:r>
              <w:t xml:space="preserve">High</w:t>
            </w:r>
          </w:p>
        </w:tc>
        <w:tc>
          <w:tcPr>
            <w:tcW w:type="dxa" w:w="2340"/>
            <w:tcMar>
              <w:top w:type="dxa" w:w="80"/>
              <w:left w:type="dxa" w:w="120"/>
              <w:bottom w:type="dxa" w:w="80"/>
              <w:right w:type="dxa" w:w="120"/>
            </w:tcMar>
          </w:tcPr>
          <w:p>
            <w:r>
              <w:rPr>
                <w:color w:val="28a745"/>
              </w:rPr>
              <w:t xml:space="preserve">Low</w:t>
            </w:r>
          </w:p>
        </w:tc>
      </w:tr>
      <w:tr>
        <w:tc>
          <w:tcPr>
            <w:tcW w:type="dxa" w:w="2340"/>
            <w:tcMar>
              <w:top w:type="dxa" w:w="80"/>
              <w:left w:type="dxa" w:w="120"/>
              <w:bottom w:type="dxa" w:w="80"/>
              <w:right w:type="dxa" w:w="120"/>
            </w:tcMar>
          </w:tcPr>
          <w:p>
            <w:r>
              <w:t xml:space="preserve">Email Exfiltration</w:t>
            </w:r>
          </w:p>
        </w:tc>
        <w:tc>
          <w:tcPr>
            <w:tcW w:type="dxa" w:w="2340"/>
            <w:tcMar>
              <w:top w:type="dxa" w:w="80"/>
              <w:left w:type="dxa" w:w="120"/>
              <w:bottom w:type="dxa" w:w="80"/>
              <w:right w:type="dxa" w:w="120"/>
            </w:tcMar>
          </w:tcPr>
          <w:p>
            <w:r>
              <w:rPr>
                <w:color w:val="28a745"/>
              </w:rPr>
              <w:t xml:space="preserve">Low</w:t>
            </w:r>
          </w:p>
        </w:tc>
        <w:tc>
          <w:tcPr>
            <w:tcW w:type="dxa" w:w="2340"/>
            <w:tcMar>
              <w:top w:type="dxa" w:w="80"/>
              <w:left w:type="dxa" w:w="120"/>
              <w:bottom w:type="dxa" w:w="80"/>
              <w:right w:type="dxa" w:w="120"/>
            </w:tcMar>
          </w:tcPr>
          <w:p>
            <w:r>
              <w:t xml:space="preserve">High</w:t>
            </w:r>
          </w:p>
        </w:tc>
        <w:tc>
          <w:tcPr>
            <w:tcW w:type="dxa" w:w="2340"/>
            <w:tcMar>
              <w:top w:type="dxa" w:w="80"/>
              <w:left w:type="dxa" w:w="120"/>
              <w:bottom w:type="dxa" w:w="80"/>
              <w:right w:type="dxa" w:w="120"/>
            </w:tcMar>
          </w:tcPr>
          <w:p>
            <w:r>
              <w:rPr>
                <w:color w:val="28a745"/>
              </w:rPr>
              <w:t xml:space="preserve">Low</w:t>
            </w:r>
          </w:p>
        </w:tc>
      </w:tr>
      <w:tr>
        <w:tc>
          <w:tcPr>
            <w:tcW w:type="dxa" w:w="2340"/>
            <w:tcMar>
              <w:top w:type="dxa" w:w="80"/>
              <w:left w:type="dxa" w:w="120"/>
              <w:bottom w:type="dxa" w:w="80"/>
              <w:right w:type="dxa" w:w="120"/>
            </w:tcMar>
          </w:tcPr>
          <w:p>
            <w:r>
              <w:t xml:space="preserve">Session Hijacking</w:t>
            </w:r>
          </w:p>
        </w:tc>
        <w:tc>
          <w:tcPr>
            <w:tcW w:type="dxa" w:w="2340"/>
            <w:tcMar>
              <w:top w:type="dxa" w:w="80"/>
              <w:left w:type="dxa" w:w="120"/>
              <w:bottom w:type="dxa" w:w="80"/>
              <w:right w:type="dxa" w:w="120"/>
            </w:tcMar>
          </w:tcPr>
          <w:p>
            <w:r>
              <w:rPr>
                <w:color w:val="28a745"/>
              </w:rPr>
              <w:t xml:space="preserve">Low</w:t>
            </w:r>
          </w:p>
        </w:tc>
        <w:tc>
          <w:tcPr>
            <w:tcW w:type="dxa" w:w="2340"/>
            <w:tcMar>
              <w:top w:type="dxa" w:w="80"/>
              <w:left w:type="dxa" w:w="120"/>
              <w:bottom w:type="dxa" w:w="80"/>
              <w:right w:type="dxa" w:w="120"/>
            </w:tcMar>
          </w:tcPr>
          <w:p>
            <w:r>
              <w:t xml:space="preserve">Medium</w:t>
            </w:r>
          </w:p>
        </w:tc>
        <w:tc>
          <w:tcPr>
            <w:tcW w:type="dxa" w:w="2340"/>
            <w:tcMar>
              <w:top w:type="dxa" w:w="80"/>
              <w:left w:type="dxa" w:w="120"/>
              <w:bottom w:type="dxa" w:w="80"/>
              <w:right w:type="dxa" w:w="120"/>
            </w:tcMar>
          </w:tcPr>
          <w:p>
            <w:r>
              <w:rPr>
                <w:color w:val="28a745"/>
              </w:rPr>
              <w:t xml:space="preserve">Low</w:t>
            </w:r>
          </w:p>
        </w:tc>
      </w:tr>
      <w:tr>
        <w:tc>
          <w:tcPr>
            <w:tcW w:type="dxa" w:w="2340"/>
            <w:tcMar>
              <w:top w:type="dxa" w:w="80"/>
              <w:left w:type="dxa" w:w="120"/>
              <w:bottom w:type="dxa" w:w="80"/>
              <w:right w:type="dxa" w:w="120"/>
            </w:tcMar>
          </w:tcPr>
          <w:p>
            <w:r>
              <w:t xml:space="preserve">Code/Data Sharing Sites</w:t>
            </w:r>
          </w:p>
        </w:tc>
        <w:tc>
          <w:tcPr>
            <w:tcW w:type="dxa" w:w="2340"/>
            <w:tcMar>
              <w:top w:type="dxa" w:w="80"/>
              <w:left w:type="dxa" w:w="120"/>
              <w:bottom w:type="dxa" w:w="80"/>
              <w:right w:type="dxa" w:w="120"/>
            </w:tcMar>
          </w:tcPr>
          <w:p>
            <w:r>
              <w:rPr>
                <w:color w:val="28a745"/>
              </w:rPr>
              <w:t xml:space="preserve">Low</w:t>
            </w:r>
          </w:p>
        </w:tc>
        <w:tc>
          <w:tcPr>
            <w:tcW w:type="dxa" w:w="2340"/>
            <w:tcMar>
              <w:top w:type="dxa" w:w="80"/>
              <w:left w:type="dxa" w:w="120"/>
              <w:bottom w:type="dxa" w:w="80"/>
              <w:right w:type="dxa" w:w="120"/>
            </w:tcMar>
          </w:tcPr>
          <w:p>
            <w:r>
              <w:t xml:space="preserve">High</w:t>
            </w:r>
          </w:p>
        </w:tc>
        <w:tc>
          <w:tcPr>
            <w:tcW w:type="dxa" w:w="2340"/>
            <w:tcMar>
              <w:top w:type="dxa" w:w="80"/>
              <w:left w:type="dxa" w:w="120"/>
              <w:bottom w:type="dxa" w:w="80"/>
              <w:right w:type="dxa" w:w="120"/>
            </w:tcMar>
          </w:tcPr>
          <w:p>
            <w:r>
              <w:rPr>
                <w:color w:val="28a745"/>
              </w:rPr>
              <w:t xml:space="preserve">Low</w:t>
            </w:r>
          </w:p>
        </w:tc>
      </w:tr>
    </w:tbl>
    <w:p>
      <w:pPr>
        <w:pStyle w:val="Heading2"/>
      </w:pPr>
      <w:r>
        <w:t xml:space="preserve">8.2 Control Effectiveness Assessment</w:t>
      </w:r>
    </w:p>
    <w:p>
      <w:r>
        <w:t xml:space="preserve">The implemented security controls provide multiple layers of protection against data exfiltration from Windows 365 Cloud PCs to unmanaged personal devices.</w:t>
      </w:r>
    </w:p>
    <w:p>
      <w:pPr>
        <w:spacing w:before="240"/>
      </w:pPr>
      <w:r>
        <w:rPr>
          <w:b/>
          <w:bCs/>
        </w:rPr>
        <w:t xml:space="preserve">Primary Controls:</w:t>
      </w:r>
    </w:p>
    <w:p>
      <w:pPr>
        <w:pStyle w:val="ListParagraph"/>
        <w:numPr>
          <w:ilvl w:val="0"/>
          <w:numId w:val="2"/>
        </w:numPr>
      </w:pPr>
      <w:r>
        <w:t xml:space="preserve">Complete device redirection restrictions prevent local storage access, printing, and clipboard operations</w:t>
      </w:r>
    </w:p>
    <w:p>
      <w:pPr>
        <w:pStyle w:val="ListParagraph"/>
        <w:numPr>
          <w:ilvl w:val="0"/>
          <w:numId w:val="2"/>
        </w:numPr>
      </w:pPr>
      <w:r>
        <w:t xml:space="preserve">Network-level filtering blocks access to consumer cloud storage and data sharing platforms</w:t>
      </w:r>
    </w:p>
    <w:p>
      <w:pPr>
        <w:pStyle w:val="ListParagraph"/>
        <w:numPr>
          <w:ilvl w:val="0"/>
          <w:numId w:val="2"/>
        </w:numPr>
      </w:pPr>
      <w:r>
        <w:t xml:space="preserve">Hourly multi-factor authentication challenges prevent session hijacking</w:t>
      </w:r>
    </w:p>
    <w:p>
      <w:pPr>
        <w:pStyle w:val="ListParagraph"/>
        <w:numPr>
          <w:ilvl w:val="0"/>
          <w:numId w:val="2"/>
        </w:numPr>
      </w:pPr>
      <w:r>
        <w:t xml:space="preserve">Automated session timeouts and screen locks protect against physical access</w:t>
      </w:r>
    </w:p>
    <w:p>
      <w:pPr>
        <w:spacing w:before="240"/>
      </w:pPr>
      <w:r>
        <w:rPr>
          <w:b/>
          <w:bCs/>
        </w:rPr>
        <w:t xml:space="preserve">Secondary Controls:</w:t>
      </w:r>
    </w:p>
    <w:p>
      <w:pPr>
        <w:pStyle w:val="ListParagraph"/>
        <w:numPr>
          <w:ilvl w:val="0"/>
          <w:numId w:val="2"/>
        </w:numPr>
      </w:pPr>
      <w:r>
        <w:t xml:space="preserve">Platform-specific device compliance monitoring for mobile devices</w:t>
      </w:r>
    </w:p>
    <w:p>
      <w:pPr>
        <w:pStyle w:val="ListParagraph"/>
        <w:numPr>
          <w:ilvl w:val="0"/>
          <w:numId w:val="2"/>
        </w:numPr>
      </w:pPr>
      <w:r>
        <w:t xml:space="preserve">Comprehensive audit logging and monitoring of access patterns</w:t>
      </w:r>
    </w:p>
    <w:p>
      <w:pPr>
        <w:pStyle w:val="ListParagraph"/>
        <w:numPr>
          <w:ilvl w:val="0"/>
          <w:numId w:val="2"/>
        </w:numPr>
      </w:pPr>
      <w:r>
        <w:t xml:space="preserve">Risk-based authentication adjustments for anomalous behavior</w:t>
      </w:r>
    </w:p>
    <w:p>
      <w:pPr>
        <w:pStyle w:val="Heading2"/>
      </w:pPr>
      <w:r>
        <w:t xml:space="preserve">8.3 Compliance with Security Requirements</w:t>
      </w:r>
    </w:p>
    <w:p>
      <w:r>
        <w:t xml:space="preserve">The implemented controls align with Equitable's information security requirements and industry best practices for protecting corporate data in BYOD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val="clear"/>
            <w:tcMar>
              <w:top w:type="dxa" w:w="80"/>
              <w:left w:type="dxa" w:w="120"/>
              <w:bottom w:type="dxa" w:w="80"/>
              <w:right w:type="dxa" w:w="120"/>
            </w:tcMar>
          </w:tcPr>
          <w:p>
            <w:r>
              <w:rPr>
                <w:b/>
                <w:bCs/>
              </w:rPr>
              <w:t xml:space="preserve">Security Requirement</w:t>
            </w:r>
          </w:p>
        </w:tc>
        <w:tc>
          <w:tcPr>
            <w:tcW w:type="dxa" w:w="4680"/>
            <w:shd w:fill="D5E8F0" w:val="clear"/>
            <w:tcMar>
              <w:top w:type="dxa" w:w="80"/>
              <w:left w:type="dxa" w:w="120"/>
              <w:bottom w:type="dxa" w:w="80"/>
              <w:right w:type="dxa" w:w="120"/>
            </w:tcMar>
          </w:tcPr>
          <w:p>
            <w:r>
              <w:rPr>
                <w:b/>
                <w:bCs/>
              </w:rPr>
              <w:t xml:space="preserve">Compliance Status</w:t>
            </w:r>
          </w:p>
        </w:tc>
      </w:tr>
      <w:tr>
        <w:tc>
          <w:tcPr>
            <w:tcW w:type="dxa" w:w="4680"/>
            <w:tcMar>
              <w:top w:type="dxa" w:w="80"/>
              <w:left w:type="dxa" w:w="120"/>
              <w:bottom w:type="dxa" w:w="80"/>
              <w:right w:type="dxa" w:w="120"/>
            </w:tcMar>
          </w:tcPr>
          <w:p>
            <w:r>
              <w:t xml:space="preserve">Data isolation between corporate and personal environments</w:t>
            </w:r>
          </w:p>
        </w:tc>
        <w:tc>
          <w:tcPr>
            <w:tcW w:type="dxa" w:w="4680"/>
            <w:tcMar>
              <w:top w:type="dxa" w:w="80"/>
              <w:left w:type="dxa" w:w="120"/>
              <w:bottom w:type="dxa" w:w="80"/>
              <w:right w:type="dxa" w:w="120"/>
            </w:tcMar>
          </w:tcPr>
          <w:p>
            <w:r>
              <w:rPr>
                <w:color w:val="28a745"/>
              </w:rPr>
              <w:t xml:space="preserve">✓ Fully Compliant</w:t>
            </w:r>
          </w:p>
        </w:tc>
      </w:tr>
      <w:tr>
        <w:tc>
          <w:tcPr>
            <w:tcW w:type="dxa" w:w="4680"/>
            <w:tcMar>
              <w:top w:type="dxa" w:w="80"/>
              <w:left w:type="dxa" w:w="120"/>
              <w:bottom w:type="dxa" w:w="80"/>
              <w:right w:type="dxa" w:w="120"/>
            </w:tcMar>
          </w:tcPr>
          <w:p>
            <w:r>
              <w:t xml:space="preserve">Multi-factor authentication for enhanced security</w:t>
            </w:r>
          </w:p>
        </w:tc>
        <w:tc>
          <w:tcPr>
            <w:tcW w:type="dxa" w:w="4680"/>
            <w:tcMar>
              <w:top w:type="dxa" w:w="80"/>
              <w:left w:type="dxa" w:w="120"/>
              <w:bottom w:type="dxa" w:w="80"/>
              <w:right w:type="dxa" w:w="120"/>
            </w:tcMar>
          </w:tcPr>
          <w:p>
            <w:r>
              <w:rPr>
                <w:color w:val="28a745"/>
              </w:rPr>
              <w:t xml:space="preserve">✓ Fully Compliant</w:t>
            </w:r>
          </w:p>
        </w:tc>
      </w:tr>
      <w:tr>
        <w:tc>
          <w:tcPr>
            <w:tcW w:type="dxa" w:w="4680"/>
            <w:tcMar>
              <w:top w:type="dxa" w:w="80"/>
              <w:left w:type="dxa" w:w="120"/>
              <w:bottom w:type="dxa" w:w="80"/>
              <w:right w:type="dxa" w:w="120"/>
            </w:tcMar>
          </w:tcPr>
          <w:p>
            <w:r>
              <w:t xml:space="preserve">Session monitoring and timeout controls</w:t>
            </w:r>
          </w:p>
        </w:tc>
        <w:tc>
          <w:tcPr>
            <w:tcW w:type="dxa" w:w="4680"/>
            <w:tcMar>
              <w:top w:type="dxa" w:w="80"/>
              <w:left w:type="dxa" w:w="120"/>
              <w:bottom w:type="dxa" w:w="80"/>
              <w:right w:type="dxa" w:w="120"/>
            </w:tcMar>
          </w:tcPr>
          <w:p>
            <w:r>
              <w:rPr>
                <w:color w:val="28a745"/>
              </w:rPr>
              <w:t xml:space="preserve">✓ Fully Compliant</w:t>
            </w:r>
          </w:p>
        </w:tc>
      </w:tr>
      <w:tr>
        <w:tc>
          <w:tcPr>
            <w:tcW w:type="dxa" w:w="4680"/>
            <w:tcMar>
              <w:top w:type="dxa" w:w="80"/>
              <w:left w:type="dxa" w:w="120"/>
              <w:bottom w:type="dxa" w:w="80"/>
              <w:right w:type="dxa" w:w="120"/>
            </w:tcMar>
          </w:tcPr>
          <w:p>
            <w:r>
              <w:t xml:space="preserve">Network-level data loss prevention</w:t>
            </w:r>
          </w:p>
        </w:tc>
        <w:tc>
          <w:tcPr>
            <w:tcW w:type="dxa" w:w="4680"/>
            <w:tcMar>
              <w:top w:type="dxa" w:w="80"/>
              <w:left w:type="dxa" w:w="120"/>
              <w:bottom w:type="dxa" w:w="80"/>
              <w:right w:type="dxa" w:w="120"/>
            </w:tcMar>
          </w:tcPr>
          <w:p>
            <w:r>
              <w:rPr>
                <w:color w:val="28a745"/>
              </w:rPr>
              <w:t xml:space="preserve">✓ Fully Compliant</w:t>
            </w:r>
          </w:p>
        </w:tc>
      </w:tr>
      <w:tr>
        <w:tc>
          <w:tcPr>
            <w:tcW w:type="dxa" w:w="4680"/>
            <w:tcMar>
              <w:top w:type="dxa" w:w="80"/>
              <w:left w:type="dxa" w:w="120"/>
              <w:bottom w:type="dxa" w:w="80"/>
              <w:right w:type="dxa" w:w="120"/>
            </w:tcMar>
          </w:tcPr>
          <w:p>
            <w:r>
              <w:t xml:space="preserve">Audit logging and monitoring capabilities</w:t>
            </w:r>
          </w:p>
        </w:tc>
        <w:tc>
          <w:tcPr>
            <w:tcW w:type="dxa" w:w="4680"/>
            <w:tcMar>
              <w:top w:type="dxa" w:w="80"/>
              <w:left w:type="dxa" w:w="120"/>
              <w:bottom w:type="dxa" w:w="80"/>
              <w:right w:type="dxa" w:w="120"/>
            </w:tcMar>
          </w:tcPr>
          <w:p>
            <w:r>
              <w:rPr>
                <w:color w:val="28a745"/>
              </w:rPr>
              <w:t xml:space="preserve">✓ Fully Compliant</w:t>
            </w:r>
          </w:p>
        </w:tc>
      </w:tr>
    </w:tbl>
    <w:p>
      <w:pPr>
        <w:pStyle w:val="Heading2"/>
      </w:pPr>
      <w:r>
        <w:t xml:space="preserve">8.4 Assessment Conclusion</w:t>
      </w:r>
    </w:p>
    <w:p>
      <w:r>
        <w:t xml:space="preserve">Based on the comprehensive analysis of implemented security controls, the risk of unauthorized data exfiltration from Windows 365 Cloud PCs to unmanaged personal devices has been reduced to an acceptable level through multiple layers of technical and procedural safeguards.</w:t>
      </w:r>
    </w:p>
    <w:p>
      <w:pPr>
        <w:spacing w:before="240"/>
      </w:pPr>
      <w:r>
        <w:rPr>
          <w:b/>
          <w:bCs/>
        </w:rPr>
        <w:t xml:space="preserve">Key Findings:</w:t>
      </w:r>
    </w:p>
    <w:p>
      <w:pPr>
        <w:pStyle w:val="ListParagraph"/>
        <w:numPr>
          <w:ilvl w:val="0"/>
          <w:numId w:val="2"/>
        </w:numPr>
      </w:pPr>
      <w:r>
        <w:t xml:space="preserve">All direct data transfer pathways (device redirection) have been technically disabled</w:t>
      </w:r>
    </w:p>
    <w:p>
      <w:pPr>
        <w:pStyle w:val="ListParagraph"/>
        <w:numPr>
          <w:ilvl w:val="0"/>
          <w:numId w:val="2"/>
        </w:numPr>
      </w:pPr>
      <w:r>
        <w:t xml:space="preserve">Network-level controls prevent access to unauthorized cloud storage and sharing platforms</w:t>
      </w:r>
    </w:p>
    <w:p>
      <w:pPr>
        <w:pStyle w:val="ListParagraph"/>
        <w:numPr>
          <w:ilvl w:val="0"/>
          <w:numId w:val="2"/>
        </w:numPr>
      </w:pPr>
      <w:r>
        <w:t xml:space="preserve">Continuous authentication requirements significantly reduce session compromise risk</w:t>
      </w:r>
    </w:p>
    <w:p>
      <w:pPr>
        <w:pStyle w:val="ListParagraph"/>
        <w:numPr>
          <w:ilvl w:val="0"/>
          <w:numId w:val="2"/>
        </w:numPr>
      </w:pPr>
      <w:r>
        <w:t xml:space="preserve">Comprehensive monitoring provides visibility into potential security incidents</w:t>
      </w:r>
    </w:p>
    <w:p>
      <w:pPr>
        <w:pStyle w:val="ListParagraph"/>
        <w:numPr>
          <w:ilvl w:val="0"/>
          <w:numId w:val="2"/>
        </w:numPr>
      </w:pPr>
      <w:r>
        <w:t xml:space="preserve">Controls are aligned with enterprise security standards and regulatory requirements</w:t>
      </w:r>
    </w:p>
    <w:p>
      <w:pPr>
        <w:spacing w:before="480"/>
      </w:pPr>
      <w:r>
        <w:rPr>
          <w:b/>
          <w:bCs/>
          <w:sz w:val="24"/>
          <w:szCs w:val="24"/>
        </w:rPr>
        <w:t xml:space="preserve">Document Control</w:t>
      </w:r>
    </w:p>
    <w:p>
      <w:r>
        <w:t xml:space="preserve">Version: 1.0 | </w:t>
      </w:r>
    </w:p>
    <w:p>
      <w:r>
        <w:t xml:space="preserve">Last Modified: </w:t>
      </w:r>
      <w:r>
        <w:t xml:space="preserve">2/12/2026</w:t>
      </w:r>
    </w:p>
    <w:p>
      <w:r>
        <w:t xml:space="preserve">Classification: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2F5597"/>
        <w:sz w:val="20"/>
        <w:szCs w:val="20"/>
      </w:rPr>
      <w:t xml:space="preserve">Windows 365 BYOD Data Protection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2F5597"/>
      <w:sz w:val="32"/>
      <w:szCs w:val="32"/>
    </w:rPr>
  </w:style>
  <w:style w:type="paragraph" w:styleId="Heading2">
    <w:name w:val="Heading 2"/>
    <w:basedOn w:val="Normal"/>
    <w:next w:val="Normal"/>
    <w:qFormat/>
    <w:pPr>
      <w:spacing w:before="200" w:after="100"/>
      <w:outlineLvl w:val="1"/>
    </w:pPr>
    <w:rPr>
      <w:rFonts w:ascii="Calibri" w:cs="Calibri" w:eastAsia="Calibri" w:hAnsi="Calibri"/>
      <w:b/>
      <w:bCs/>
      <w:color w:val="2F5597"/>
      <w:sz w:val="28"/>
      <w:szCs w:val="28"/>
    </w:rPr>
  </w:style>
  <w:style w:type="paragraph" w:styleId="Heading3">
    <w:name w:val="Heading 3"/>
    <w:basedOn w:val="Normal"/>
    <w:next w:val="Normal"/>
    <w:qFormat/>
    <w:pPr>
      <w:spacing w:before="160" w:after="80"/>
      <w:outlineLvl w:val="2"/>
    </w:pPr>
    <w:rPr>
      <w:rFonts w:ascii="Calibri" w:cs="Calibri" w:eastAsia="Calibri" w:hAnsi="Calibri"/>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2026-02-12T18:10:13.928Z</dcterms:created>
  <dcterms:modified xsi:type="dcterms:W3CDTF">2026-02-12T18:10:13.928Z</dcterms:modified>
</cp:coreProperties>
</file>

<file path=docProps/custom.xml><?xml version="1.0" encoding="utf-8"?>
<Properties xmlns="http://schemas.openxmlformats.org/officeDocument/2006/custom-properties" xmlns:vt="http://schemas.openxmlformats.org/officeDocument/2006/docPropsVTypes"/>
</file>