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F5597" w:val="clear"/>
            <w:tcMar>
              <w:top w:type="dxa" w:w="400"/>
              <w:left w:type="dxa" w:w="360"/>
              <w:bottom w:type="dxa" w:w="200"/>
              <w:right w:type="dxa" w:w="360"/>
            </w:tcMar>
          </w:tcPr>
          <w:p>
            <w:pPr>
              <w:jc w:val="center"/>
            </w:pPr>
            <w:r>
              <w:rPr>
                <w:rFonts w:ascii="Calibri" w:cs="Calibri" w:eastAsia="Calibri" w:hAnsi="Calibri"/>
                <w:b/>
                <w:bCs/>
                <w:color w:val="BDD0E9"/>
                <w:sz w:val="20"/>
                <w:szCs w:val="20"/>
              </w:rPr>
              <w:t xml:space="preserve">TRADES REVIEW SUBMISSION</w:t>
            </w:r>
          </w:p>
          <w:p>
            <w:pPr>
              <w:jc w:val="center"/>
            </w:pPr>
            <w:r>
              <w:rPr>
                <w:rFonts w:ascii="Calibri" w:cs="Calibri" w:eastAsia="Calibri" w:hAnsi="Calibri"/>
                <w:b/>
                <w:bCs/>
                <w:color w:val="FFFFFF"/>
                <w:sz w:val="48"/>
                <w:szCs w:val="48"/>
              </w:rPr>
              <w:t xml:space="preserve">Microsoft 365 Desired State Configuration</w:t>
            </w:r>
          </w:p>
          <w:p>
            <w:pPr>
              <w:jc w:val="center"/>
            </w:pPr>
            <w:r>
              <w:rPr>
                <w:rFonts w:ascii="Calibri" w:cs="Calibri" w:eastAsia="Calibri" w:hAnsi="Calibri"/>
                <w:color w:val="D6E4F7"/>
                <w:sz w:val="32"/>
                <w:szCs w:val="32"/>
              </w:rPr>
              <w:t xml:space="preserve">Production Environment Implementation</w:t>
            </w:r>
          </w:p>
        </w:tc>
      </w:tr>
      <w:tr>
        <w:tc>
          <w:tcPr>
            <w:tcW w:type="dxa" w:w="9360"/>
            <w:tcBorders>
              <w:top w:val="none" w:color="FFFFFF" w:sz="0"/>
              <w:left w:val="none" w:color="FFFFFF" w:sz="0"/>
              <w:bottom w:val="none" w:color="FFFFFF" w:sz="0"/>
              <w:right w:val="none" w:color="FFFFFF" w:sz="0"/>
            </w:tcBorders>
            <w:shd w:fill="4472C4" w:val="clear"/>
            <w:tcMar>
              <w:top w:type="dxa" w:w="160"/>
              <w:left w:type="dxa" w:w="360"/>
              <w:bottom w:type="dxa" w:w="160"/>
              <w:right w:type="dxa" w:w="360"/>
            </w:tcMar>
          </w:tcPr>
          <w:p>
            <w:pPr>
              <w:jc w:val="center"/>
            </w:pPr>
            <w:r>
              <w:rPr>
                <w:rFonts w:ascii="Calibri" w:cs="Calibri" w:eastAsia="Calibri" w:hAnsi="Calibri"/>
                <w:color w:val="FFFFFF"/>
                <w:sz w:val="20"/>
                <w:szCs w:val="20"/>
              </w:rPr>
              <w:t xml:space="preserve">January 2026  •  IT Infrastructure &amp; Security  •  Version 1.0</w:t>
            </w:r>
          </w:p>
        </w:tc>
      </w:tr>
    </w:tbl>
    <w:p>
      <w:pPr>
        <w:spacing w:before="300" w:after="100"/>
      </w:pPr>
    </w:p>
    <w:p>
      <w:pPr>
        <w:pStyle w:val="Heading1"/>
        <w:pBdr>
          <w:bottom w:val="single" w:color="2F5597" w:sz="8" w:space="4"/>
        </w:pBdr>
        <w:spacing w:before="400" w:after="200"/>
      </w:pPr>
      <w:r>
        <w:rPr>
          <w:rFonts w:ascii="Calibri" w:cs="Calibri" w:eastAsia="Calibri" w:hAnsi="Calibri"/>
          <w:b/>
          <w:bCs/>
          <w:color w:val="2F5597"/>
          <w:sz w:val="32"/>
          <w:szCs w:val="32"/>
        </w:rPr>
        <w:t xml:space="preserve">1. Executive Summary</w:t>
      </w:r>
    </w:p>
    <w:p>
      <w:pPr>
        <w:spacing w:before="100" w:after="100"/>
      </w:pPr>
      <w:r>
        <w:rPr>
          <w:rFonts w:ascii="Calibri" w:cs="Calibri" w:eastAsia="Calibri" w:hAnsi="Calibri"/>
          <w:sz w:val="22"/>
          <w:szCs w:val="22"/>
        </w:rPr>
        <w:t xml:space="preserve">This document presents the formal trade review submission for the proposed implementation of Microsoft 365 Desired State Configuration (M365 DSC) within the production Microsoft 365 tenant environment. It provides the executive summary, acceptance criteria, and supporting high-level design information required for architectural and governance review.</w:t>
      </w:r>
    </w:p>
    <w:p>
      <w:pPr>
        <w:spacing w:before="120" w:after="80"/>
      </w:pPr>
    </w:p>
    <w:p>
      <w:pPr>
        <w:pStyle w:val="Heading2"/>
        <w:spacing w:before="300" w:after="160"/>
      </w:pPr>
      <w:r>
        <w:rPr>
          <w:rFonts w:ascii="Calibri" w:cs="Calibri" w:eastAsia="Calibri" w:hAnsi="Calibri"/>
          <w:b/>
          <w:bCs/>
          <w:color w:val="4472C4"/>
          <w:sz w:val="26"/>
          <w:szCs w:val="26"/>
        </w:rPr>
        <w:t xml:space="preserve">1.1 Project Overview</w:t>
      </w:r>
    </w:p>
    <w:p>
      <w:pPr>
        <w:spacing w:before="100" w:after="100"/>
      </w:pPr>
      <w:r>
        <w:rPr>
          <w:rFonts w:ascii="Calibri" w:cs="Calibri" w:eastAsia="Calibri" w:hAnsi="Calibri"/>
          <w:sz w:val="22"/>
          <w:szCs w:val="22"/>
        </w:rPr>
        <w:t xml:space="preserve">Microsoft 365 Desired State Configuration (M365 DSC) is an open-source PowerShell-based framework developed by Microsoft that enables organisations to define, enforce, monitor, and remediate the configuration of their Microsoft 365 tenants as code. M365 DSC translates tenant configuration settings across services — including Exchange Online, SharePoint Online, Microsoft Teams, Entra ID, Defender, and Security &amp; Compliance — into declarative configuration files that represent the desired state of the environment.</w:t>
      </w:r>
    </w:p>
    <w:p>
      <w:pPr>
        <w:spacing w:before="80" w:after="80"/>
      </w:pPr>
    </w:p>
    <w:p>
      <w:pPr>
        <w:spacing w:before="100" w:after="100"/>
      </w:pPr>
      <w:r>
        <w:rPr>
          <w:rFonts w:ascii="Calibri" w:cs="Calibri" w:eastAsia="Calibri" w:hAnsi="Calibri"/>
          <w:sz w:val="22"/>
          <w:szCs w:val="22"/>
        </w:rPr>
        <w:t xml:space="preserve">The primary driver for this initiative is the need to establish a reliable, auditable, and automated mechanism for maintaining configuration governance across the organisation’s Microsoft 365 environment. As cloud platform complexity grows, manual configuration review processes are no longer sustainable for ensuring compliance with internal security standards and external regulatory requirements.</w:t>
      </w:r>
    </w:p>
    <w:p>
      <w:pPr>
        <w:spacing w:before="120" w:after="80"/>
      </w:pPr>
    </w:p>
    <w:p>
      <w:pPr>
        <w:pStyle w:val="Heading2"/>
        <w:spacing w:before="300" w:after="160"/>
      </w:pPr>
      <w:r>
        <w:rPr>
          <w:rFonts w:ascii="Calibri" w:cs="Calibri" w:eastAsia="Calibri" w:hAnsi="Calibri"/>
          <w:b/>
          <w:bCs/>
          <w:color w:val="4472C4"/>
          <w:sz w:val="26"/>
          <w:szCs w:val="26"/>
        </w:rPr>
        <w:t xml:space="preserve">1.2 Purpose &amp; Business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0E9" w:sz="4"/>
              <w:left w:val="single" w:color="BDD0E9" w:sz="4"/>
              <w:bottom w:val="single" w:color="BDD0E9" w:sz="4"/>
              <w:right w:val="single" w:color="BDD0E9" w:sz="4"/>
            </w:tcBorders>
            <w:shd w:fill="2F5597" w:val="clear"/>
            <w:tcMar>
              <w:top w:type="dxa" w:w="100"/>
              <w:left w:type="dxa" w:w="180"/>
              <w:bottom w:type="dxa" w:w="100"/>
              <w:right w:type="dxa" w:w="180"/>
            </w:tcMar>
          </w:tcPr>
          <w:p>
            <w:r>
              <w:rPr>
                <w:rFonts w:ascii="Calibri" w:cs="Calibri" w:eastAsia="Calibri" w:hAnsi="Calibri"/>
                <w:b/>
                <w:bCs/>
                <w:color w:val="FFFFFF"/>
                <w:sz w:val="22"/>
                <w:szCs w:val="22"/>
              </w:rPr>
              <w:t xml:space="preserve">Problem Statement</w:t>
            </w:r>
          </w:p>
        </w:tc>
      </w:tr>
      <w:tr>
        <w:tc>
          <w:tcPr>
            <w:tcW w:type="dxa" w:w="9360"/>
            <w:tcBorders>
              <w:top w:val="single" w:color="BDD0E9" w:sz="4"/>
              <w:left w:val="single" w:color="BDD0E9" w:sz="4"/>
              <w:bottom w:val="single" w:color="BDD0E9" w:sz="4"/>
              <w:right w:val="single" w:color="BDD0E9" w:sz="4"/>
            </w:tcBorders>
            <w:shd w:fill="F2F6FC" w:val="clear"/>
            <w:tcMar>
              <w:top w:type="dxa" w:w="120"/>
              <w:left w:type="dxa" w:w="180"/>
              <w:bottom w:type="dxa" w:w="120"/>
              <w:right w:type="dxa" w:w="180"/>
            </w:tcMar>
          </w:tcPr>
          <w:p>
            <w:pPr>
              <w:spacing w:before="100" w:after="100"/>
            </w:pPr>
            <w:r>
              <w:rPr>
                <w:rFonts w:ascii="Calibri" w:cs="Calibri" w:eastAsia="Calibri" w:hAnsi="Calibri"/>
                <w:sz w:val="22"/>
                <w:szCs w:val="22"/>
              </w:rPr>
              <w:t xml:space="preserve">The organisation’s Microsoft 365 environment is subject to ongoing configuration drift, where administrative changes, service updates, or human error alter settings from their approved baseline. Without an automated enforcement mechanism, identifying and correcting drift requires significant manual effort and introduces risk of extended non-compliance exposure.</w:t>
            </w:r>
          </w:p>
        </w:tc>
      </w:tr>
    </w:tbl>
    <w:p>
      <w:pPr>
        <w:spacing w:before="120" w:after="80"/>
      </w:pPr>
    </w:p>
    <w:p>
      <w:pPr>
        <w:spacing w:before="100" w:after="100"/>
      </w:pPr>
      <w:r>
        <w:rPr>
          <w:rFonts w:ascii="Calibri" w:cs="Calibri" w:eastAsia="Calibri" w:hAnsi="Calibri"/>
          <w:b/>
          <w:bCs/>
          <w:sz w:val="22"/>
          <w:szCs w:val="22"/>
        </w:rPr>
        <w:t xml:space="preserve">This implementation addresses the following business needs:</w:t>
      </w:r>
    </w:p>
    <w:p>
      <w:pPr>
        <w:pStyle w:val="ListParagraph"/>
        <w:numPr>
          <w:ilvl w:val="0"/>
          <w:numId w:val="2"/>
        </w:numPr>
        <w:spacing w:before="60" w:after="60"/>
      </w:pPr>
      <w:r>
        <w:rPr>
          <w:rFonts w:ascii="Calibri" w:cs="Calibri" w:eastAsia="Calibri" w:hAnsi="Calibri"/>
          <w:sz w:val="22"/>
          <w:szCs w:val="22"/>
        </w:rPr>
        <w:t xml:space="preserve">Configuration Assurance: Provide continuous validation that M365 service configurations align with approved security and operational baselines.</w:t>
      </w:r>
    </w:p>
    <w:p>
      <w:pPr>
        <w:pStyle w:val="ListParagraph"/>
        <w:numPr>
          <w:ilvl w:val="0"/>
          <w:numId w:val="2"/>
        </w:numPr>
        <w:spacing w:before="60" w:after="60"/>
      </w:pPr>
      <w:r>
        <w:rPr>
          <w:rFonts w:ascii="Calibri" w:cs="Calibri" w:eastAsia="Calibri" w:hAnsi="Calibri"/>
          <w:sz w:val="22"/>
          <w:szCs w:val="22"/>
        </w:rPr>
        <w:t xml:space="preserve">Compliance Enablement: Support audit and CISO-led compliance reviews with exportable, versioned configuration snapshots as evidence.</w:t>
      </w:r>
    </w:p>
    <w:p>
      <w:pPr>
        <w:pStyle w:val="ListParagraph"/>
        <w:numPr>
          <w:ilvl w:val="0"/>
          <w:numId w:val="2"/>
        </w:numPr>
        <w:spacing w:before="60" w:after="60"/>
      </w:pPr>
      <w:r>
        <w:rPr>
          <w:rFonts w:ascii="Calibri" w:cs="Calibri" w:eastAsia="Calibri" w:hAnsi="Calibri"/>
          <w:sz w:val="22"/>
          <w:szCs w:val="22"/>
        </w:rPr>
        <w:t xml:space="preserve">Operational Efficiency: Reduce manual effort associated with configuration review cycles through automated drift detection and optional remediation.</w:t>
      </w:r>
    </w:p>
    <w:p>
      <w:pPr>
        <w:pStyle w:val="ListParagraph"/>
        <w:numPr>
          <w:ilvl w:val="0"/>
          <w:numId w:val="2"/>
        </w:numPr>
        <w:spacing w:before="60" w:after="60"/>
      </w:pPr>
      <w:r>
        <w:rPr>
          <w:rFonts w:ascii="Calibri" w:cs="Calibri" w:eastAsia="Calibri" w:hAnsi="Calibri"/>
          <w:sz w:val="22"/>
          <w:szCs w:val="22"/>
        </w:rPr>
        <w:t xml:space="preserve">Risk Reduction: Minimise the window between configuration drift occurrence and correction, reducing security and regulatory exposure.</w:t>
      </w:r>
    </w:p>
    <w:p>
      <w:pPr>
        <w:pStyle w:val="ListParagraph"/>
        <w:numPr>
          <w:ilvl w:val="0"/>
          <w:numId w:val="2"/>
        </w:numPr>
        <w:spacing w:before="60" w:after="60"/>
      </w:pPr>
      <w:r>
        <w:rPr>
          <w:rFonts w:ascii="Calibri" w:cs="Calibri" w:eastAsia="Calibri" w:hAnsi="Calibri"/>
          <w:sz w:val="22"/>
          <w:szCs w:val="22"/>
        </w:rPr>
        <w:t xml:space="preserve">Change Governance: Integrate configuration management with existing change control processes to maintain accountability for all M365 configuration changes.</w:t>
      </w:r>
    </w:p>
    <w:p>
      <w:pPr>
        <w:spacing w:before="120" w:after="80"/>
      </w:pPr>
    </w:p>
    <w:p>
      <w:pPr>
        <w:pStyle w:val="Heading2"/>
        <w:spacing w:before="300" w:after="160"/>
      </w:pPr>
      <w:r>
        <w:rPr>
          <w:rFonts w:ascii="Calibri" w:cs="Calibri" w:eastAsia="Calibri" w:hAnsi="Calibri"/>
          <w:b/>
          <w:bCs/>
          <w:color w:val="4472C4"/>
          <w:sz w:val="26"/>
          <w:szCs w:val="26"/>
        </w:rPr>
        <w:t xml:space="preserve">1.3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0E9" w:sz="4"/>
              <w:left w:val="single" w:color="BDD0E9" w:sz="4"/>
              <w:bottom w:val="single" w:color="BDD0E9" w:sz="4"/>
              <w:right w:val="single" w:color="BDD0E9" w:sz="4"/>
            </w:tcBorders>
            <w:shd w:fill="D6E4F7" w:val="clear"/>
            <w:tcMar>
              <w:top w:type="dxa" w:w="80"/>
              <w:left w:type="dxa" w:w="120"/>
              <w:bottom w:type="dxa" w:w="80"/>
              <w:right w:type="dxa" w:w="120"/>
            </w:tcMar>
          </w:tcPr>
          <w:p>
            <w:r>
              <w:rPr>
                <w:rFonts w:ascii="Calibri" w:cs="Calibri" w:eastAsia="Calibri" w:hAnsi="Calibri"/>
                <w:b/>
                <w:bCs/>
                <w:sz w:val="22"/>
                <w:szCs w:val="22"/>
              </w:rPr>
              <w:t xml:space="preserve">In Scope — Phase 1</w:t>
            </w:r>
          </w:p>
        </w:tc>
        <w:tc>
          <w:tcPr>
            <w:tcW w:type="dxa" w:w="636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2"/>
                <w:szCs w:val="22"/>
              </w:rPr>
              <w:t xml:space="preserve">Entra ID (Azure AD), Exchange Online, SharePoint Online, Microsoft Teams, Security &amp; Compliance Centre, Microsoft Defender</w:t>
            </w:r>
          </w:p>
        </w:tc>
      </w:tr>
      <w:tr>
        <w:tc>
          <w:tcPr>
            <w:tcW w:type="dxa" w:w="3000"/>
            <w:tcBorders>
              <w:top w:val="single" w:color="BDD0E9" w:sz="4"/>
              <w:left w:val="single" w:color="BDD0E9" w:sz="4"/>
              <w:bottom w:val="single" w:color="BDD0E9" w:sz="4"/>
              <w:right w:val="single" w:color="BDD0E9" w:sz="4"/>
            </w:tcBorders>
            <w:shd w:fill="EEF4FB" w:val="clear"/>
            <w:tcMar>
              <w:top w:type="dxa" w:w="80"/>
              <w:left w:type="dxa" w:w="120"/>
              <w:bottom w:type="dxa" w:w="80"/>
              <w:right w:type="dxa" w:w="120"/>
            </w:tcMar>
          </w:tcPr>
          <w:p>
            <w:r>
              <w:rPr>
                <w:rFonts w:ascii="Calibri" w:cs="Calibri" w:eastAsia="Calibri" w:hAnsi="Calibri"/>
                <w:b/>
                <w:bCs/>
                <w:sz w:val="22"/>
                <w:szCs w:val="22"/>
              </w:rPr>
              <w:t xml:space="preserve">In Scope — Phase 2</w:t>
            </w:r>
          </w:p>
        </w:tc>
        <w:tc>
          <w:tcPr>
            <w:tcW w:type="dxa" w:w="636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2"/>
                <w:szCs w:val="22"/>
              </w:rPr>
              <w:t xml:space="preserve">Power Platform, Intune device configuration policies, additional Defender workloads (subject to Phase 1 outcomes)</w:t>
            </w:r>
          </w:p>
        </w:tc>
      </w:tr>
      <w:tr>
        <w:tc>
          <w:tcPr>
            <w:tcW w:type="dxa" w:w="3000"/>
            <w:tcBorders>
              <w:top w:val="single" w:color="BDD0E9" w:sz="4"/>
              <w:left w:val="single" w:color="BDD0E9" w:sz="4"/>
              <w:bottom w:val="single" w:color="BDD0E9" w:sz="4"/>
              <w:right w:val="single" w:color="BDD0E9" w:sz="4"/>
            </w:tcBorders>
            <w:shd w:fill="D6E4F7" w:val="clear"/>
            <w:tcMar>
              <w:top w:type="dxa" w:w="80"/>
              <w:left w:type="dxa" w:w="120"/>
              <w:bottom w:type="dxa" w:w="80"/>
              <w:right w:type="dxa" w:w="120"/>
            </w:tcMar>
          </w:tcPr>
          <w:p>
            <w:r>
              <w:rPr>
                <w:rFonts w:ascii="Calibri" w:cs="Calibri" w:eastAsia="Calibri" w:hAnsi="Calibri"/>
                <w:b/>
                <w:bCs/>
                <w:sz w:val="22"/>
                <w:szCs w:val="22"/>
              </w:rPr>
              <w:t xml:space="preserve">Out of Scope</w:t>
            </w:r>
          </w:p>
        </w:tc>
        <w:tc>
          <w:tcPr>
            <w:tcW w:type="dxa" w:w="636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2"/>
                <w:szCs w:val="22"/>
              </w:rPr>
              <w:t xml:space="preserve">Third-party SaaS integrations, on-premises Active Directory (EQU.LOCAL) configuration management, non-Microsoft cloud services</w:t>
            </w:r>
          </w:p>
        </w:tc>
      </w:tr>
      <w:tr>
        <w:tc>
          <w:tcPr>
            <w:tcW w:type="dxa" w:w="3000"/>
            <w:tcBorders>
              <w:top w:val="single" w:color="BDD0E9" w:sz="4"/>
              <w:left w:val="single" w:color="BDD0E9" w:sz="4"/>
              <w:bottom w:val="single" w:color="BDD0E9" w:sz="4"/>
              <w:right w:val="single" w:color="BDD0E9" w:sz="4"/>
            </w:tcBorders>
            <w:shd w:fill="EEF4FB" w:val="clear"/>
            <w:tcMar>
              <w:top w:type="dxa" w:w="80"/>
              <w:left w:type="dxa" w:w="120"/>
              <w:bottom w:type="dxa" w:w="80"/>
              <w:right w:type="dxa" w:w="120"/>
            </w:tcMar>
          </w:tcPr>
          <w:p>
            <w:r>
              <w:rPr>
                <w:rFonts w:ascii="Calibri" w:cs="Calibri" w:eastAsia="Calibri" w:hAnsi="Calibri"/>
                <w:b/>
                <w:bCs/>
                <w:sz w:val="22"/>
                <w:szCs w:val="22"/>
              </w:rPr>
              <w:t xml:space="preserve">Environment</w:t>
            </w:r>
          </w:p>
        </w:tc>
        <w:tc>
          <w:tcPr>
            <w:tcW w:type="dxa" w:w="636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2"/>
                <w:szCs w:val="22"/>
              </w:rPr>
              <w:t xml:space="preserve">Production Microsoft 365 tenant; hybrid Active Directory (EQU.LOCAL); Azure-connected infrastructure</w:t>
            </w:r>
          </w:p>
        </w:tc>
      </w:tr>
      <w:tr>
        <w:tc>
          <w:tcPr>
            <w:tcW w:type="dxa" w:w="3000"/>
            <w:tcBorders>
              <w:top w:val="single" w:color="BDD0E9" w:sz="4"/>
              <w:left w:val="single" w:color="BDD0E9" w:sz="4"/>
              <w:bottom w:val="single" w:color="BDD0E9" w:sz="4"/>
              <w:right w:val="single" w:color="BDD0E9" w:sz="4"/>
            </w:tcBorders>
            <w:shd w:fill="D6E4F7" w:val="clear"/>
            <w:tcMar>
              <w:top w:type="dxa" w:w="80"/>
              <w:left w:type="dxa" w:w="120"/>
              <w:bottom w:type="dxa" w:w="80"/>
              <w:right w:type="dxa" w:w="120"/>
            </w:tcMar>
          </w:tcPr>
          <w:p>
            <w:r>
              <w:rPr>
                <w:rFonts w:ascii="Calibri" w:cs="Calibri" w:eastAsia="Calibri" w:hAnsi="Calibri"/>
                <w:b/>
                <w:bCs/>
                <w:sz w:val="22"/>
                <w:szCs w:val="22"/>
              </w:rPr>
              <w:t xml:space="preserve">Execution Platform</w:t>
            </w:r>
          </w:p>
        </w:tc>
        <w:tc>
          <w:tcPr>
            <w:tcW w:type="dxa" w:w="636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2"/>
                <w:szCs w:val="22"/>
              </w:rPr>
              <w:t xml:space="preserve">To be confirmed during detailed design — candidate platforms: Azure Automation Runbooks, Azure Container Instances, on-premises server</w:t>
            </w:r>
          </w:p>
        </w:tc>
      </w:tr>
    </w:tbl>
    <w:p>
      <w:pPr>
        <w:spacing w:before="120" w:after="80"/>
      </w:pPr>
    </w:p>
    <w:p>
      <w:pPr>
        <w:pStyle w:val="Heading2"/>
        <w:spacing w:before="300" w:after="160"/>
      </w:pPr>
      <w:r>
        <w:rPr>
          <w:rFonts w:ascii="Calibri" w:cs="Calibri" w:eastAsia="Calibri" w:hAnsi="Calibri"/>
          <w:b/>
          <w:bCs/>
          <w:color w:val="4472C4"/>
          <w:sz w:val="26"/>
          <w:szCs w:val="26"/>
        </w:rPr>
        <w:t xml:space="preserve">1.4 Proposed Architecture Summary</w:t>
      </w:r>
    </w:p>
    <w:p>
      <w:pPr>
        <w:spacing w:before="100" w:after="100"/>
      </w:pPr>
      <w:r>
        <w:rPr>
          <w:rFonts w:ascii="Calibri" w:cs="Calibri" w:eastAsia="Calibri" w:hAnsi="Calibri"/>
          <w:sz w:val="22"/>
          <w:szCs w:val="22"/>
        </w:rPr>
        <w:t xml:space="preserve">The solution will leverage Service Principal (App Registration) identities with certificate-based authentication as the primary authentication method, providing enhanced security over named user service accounts. Separate Service Principals will be provisioned per M365 service category, following the principle of least privilege.</w:t>
      </w:r>
    </w:p>
    <w:p>
      <w:pPr>
        <w:spacing w:before="80" w:after="80"/>
      </w:pPr>
    </w:p>
    <w:p>
      <w:pPr>
        <w:spacing w:before="100" w:after="100"/>
      </w:pPr>
      <w:r>
        <w:rPr>
          <w:rFonts w:ascii="Calibri" w:cs="Calibri" w:eastAsia="Calibri" w:hAnsi="Calibri"/>
          <w:sz w:val="22"/>
          <w:szCs w:val="22"/>
        </w:rPr>
        <w:t xml:space="preserve">Configuration exports and state files will be stored in Azure Blob Storage with private endpoints, immutable retention policies, and geo-redundant storage (GRS) for disaster recovery. Certificate management will be centralised through Azure Key Vault, subject to CISO team approval, with automated rotation and expiry alerting 30 days prior to expiration.</w:t>
      </w:r>
    </w:p>
    <w:p>
      <w:pPr>
        <w:spacing w:before="80" w:after="80"/>
      </w:pPr>
    </w:p>
    <w:p>
      <w:pPr>
        <w:spacing w:before="100" w:after="100"/>
      </w:pPr>
      <w:r>
        <w:rPr>
          <w:rFonts w:ascii="Calibri" w:cs="Calibri" w:eastAsia="Calibri" w:hAnsi="Calibri"/>
          <w:sz w:val="22"/>
          <w:szCs w:val="22"/>
        </w:rPr>
        <w:t xml:space="preserve">In the initial phase, M365 DSC will operate in detection-only mode, generating drift alerts to the Tenant Administration team and Security Operations Centre (SOC) without performing automatic remediation. Remediation workflows will be assessed for future phases once operational confidence is established.</w:t>
      </w:r>
    </w:p>
    <w:p>
      <w:pPr>
        <w:spacing w:before="200" w:after="100"/>
      </w:pPr>
    </w:p>
    <w:p>
      <w:pPr>
        <w:pStyle w:val="Heading1"/>
        <w:pBdr>
          <w:bottom w:val="single" w:color="2F5597" w:sz="8" w:space="4"/>
        </w:pBdr>
        <w:spacing w:before="400" w:after="200"/>
      </w:pPr>
      <w:r>
        <w:rPr>
          <w:rFonts w:ascii="Calibri" w:cs="Calibri" w:eastAsia="Calibri" w:hAnsi="Calibri"/>
          <w:b/>
          <w:bCs/>
          <w:color w:val="2F5597"/>
          <w:sz w:val="32"/>
          <w:szCs w:val="32"/>
        </w:rPr>
        <w:t xml:space="preserve">2. Acceptance Criteria</w:t>
      </w:r>
    </w:p>
    <w:p>
      <w:pPr>
        <w:spacing w:before="100" w:after="100"/>
      </w:pPr>
      <w:r>
        <w:rPr>
          <w:rFonts w:ascii="Calibri" w:cs="Calibri" w:eastAsia="Calibri" w:hAnsi="Calibri"/>
          <w:sz w:val="22"/>
          <w:szCs w:val="22"/>
        </w:rPr>
        <w:t xml:space="preserve">The following acceptance criteria define the conditions that must be satisfied for the M365 DSC implementation to be considered production-ready and approved for ongoing operation. Criteria are grouped by domain to facilitate structured review and sign-off.</w:t>
      </w:r>
    </w:p>
    <w:p>
      <w:pPr>
        <w:spacing w:before="120" w:after="80"/>
      </w:pPr>
    </w:p>
    <w:p>
      <w:pPr>
        <w:pStyle w:val="Heading2"/>
        <w:spacing w:before="300" w:after="160"/>
      </w:pPr>
      <w:r>
        <w:rPr>
          <w:rFonts w:ascii="Calibri" w:cs="Calibri" w:eastAsia="Calibri" w:hAnsi="Calibri"/>
          <w:b/>
          <w:bCs/>
          <w:color w:val="4472C4"/>
          <w:sz w:val="26"/>
          <w:szCs w:val="26"/>
        </w:rPr>
        <w:t xml:space="preserve">2.1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1800"/>
        <w:gridCol w:w="1600"/>
      </w:tblGrid>
      <w:tr>
        <w:tc>
          <w:tcPr>
            <w:tcW w:type="dxa" w:w="400"/>
            <w:tcBorders>
              <w:top w:val="single" w:color="BDD0E9" w:sz="4"/>
              <w:left w:val="single" w:color="BDD0E9" w:sz="4"/>
              <w:bottom w:val="single" w:color="BDD0E9" w:sz="4"/>
              <w:right w:val="single" w:color="BDD0E9" w:sz="4"/>
            </w:tcBorders>
            <w:shd w:fill="2F5597"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5560"/>
            <w:tcBorders>
              <w:top w:val="single" w:color="BDD0E9" w:sz="4"/>
              <w:left w:val="single" w:color="BDD0E9" w:sz="4"/>
              <w:bottom w:val="single" w:color="BDD0E9" w:sz="4"/>
              <w:right w:val="single" w:color="BDD0E9" w:sz="4"/>
            </w:tcBorders>
            <w:shd w:fill="2F5597" w:val="clear"/>
            <w:tcMar>
              <w:top w:type="dxa" w:w="80"/>
              <w:left w:type="dxa" w:w="120"/>
              <w:bottom w:type="dxa" w:w="80"/>
              <w:right w:type="dxa" w:w="120"/>
            </w:tcMar>
          </w:tcPr>
          <w:p>
            <w:r>
              <w:rPr>
                <w:rFonts w:ascii="Calibri" w:cs="Calibri" w:eastAsia="Calibri" w:hAnsi="Calibri"/>
                <w:b/>
                <w:bCs/>
                <w:color w:val="FFFFFF"/>
                <w:sz w:val="20"/>
                <w:szCs w:val="20"/>
              </w:rPr>
              <w:t xml:space="preserve">Acceptance Criterion</w:t>
            </w:r>
          </w:p>
        </w:tc>
        <w:tc>
          <w:tcPr>
            <w:tcW w:type="dxa" w:w="1800"/>
            <w:tcBorders>
              <w:top w:val="single" w:color="BDD0E9" w:sz="4"/>
              <w:left w:val="single" w:color="BDD0E9" w:sz="4"/>
              <w:bottom w:val="single" w:color="BDD0E9" w:sz="4"/>
              <w:right w:val="single" w:color="BDD0E9" w:sz="4"/>
            </w:tcBorders>
            <w:shd w:fill="2F5597"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1600"/>
            <w:tcBorders>
              <w:top w:val="single" w:color="BDD0E9" w:sz="4"/>
              <w:left w:val="single" w:color="BDD0E9" w:sz="4"/>
              <w:bottom w:val="single" w:color="BDD0E9" w:sz="4"/>
              <w:right w:val="single" w:color="BDD0E9" w:sz="4"/>
            </w:tcBorders>
            <w:shd w:fill="2F5597"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r>
      <w:tr>
        <w:tc>
          <w:tcPr>
            <w:tcW w:type="dxa" w:w="400"/>
            <w:tcBorders>
              <w:top w:val="single" w:color="BDD0E9" w:sz="4"/>
              <w:left w:val="single" w:color="BDD0E9" w:sz="4"/>
              <w:bottom w:val="single" w:color="BDD0E9" w:sz="4"/>
              <w:right w:val="single" w:color="BDD0E9" w:sz="4"/>
            </w:tcBorders>
            <w:shd w:fill="D6E4F7" w:val="clear"/>
            <w:tcMar>
              <w:top w:type="dxa" w:w="80"/>
              <w:left w:type="dxa" w:w="100"/>
              <w:bottom w:type="dxa" w:w="80"/>
              <w:right w:type="dxa" w:w="100"/>
            </w:tcMar>
          </w:tcPr>
          <w:p>
            <w:r>
              <w:rPr>
                <w:rFonts w:ascii="Calibri" w:cs="Calibri" w:eastAsia="Calibri" w:hAnsi="Calibri"/>
                <w:b/>
                <w:bCs/>
                <w:sz w:val="20"/>
                <w:szCs w:val="20"/>
              </w:rPr>
              <w:t xml:space="preserve">TC-01</w:t>
            </w:r>
          </w:p>
        </w:tc>
        <w:tc>
          <w:tcPr>
            <w:tcW w:type="dxa" w:w="556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M365 DSC successfully authenticates to all in-scope M365 workloads using Service Principal certificate-based authentication with no interactive login prompts.</w:t>
            </w:r>
          </w:p>
        </w:tc>
        <w:tc>
          <w:tcPr>
            <w:tcW w:type="dxa" w:w="180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Authentication</w:t>
            </w:r>
          </w:p>
        </w:tc>
        <w:tc>
          <w:tcPr>
            <w:tcW w:type="dxa" w:w="1600"/>
            <w:tcBorders>
              <w:top w:val="single" w:color="BDD0E9" w:sz="4"/>
              <w:left w:val="single" w:color="BDD0E9" w:sz="4"/>
              <w:bottom w:val="single" w:color="BDD0E9" w:sz="4"/>
              <w:right w:val="single" w:color="BDD0E9" w:sz="4"/>
            </w:tcBorders>
            <w:shd w:fill="FFF2F0" w:val="clear"/>
            <w:tcMar>
              <w:top w:type="dxa" w:w="80"/>
              <w:left w:type="dxa" w:w="120"/>
              <w:bottom w:type="dxa" w:w="80"/>
              <w:right w:type="dxa" w:w="120"/>
            </w:tcMar>
          </w:tcPr>
          <w:p>
            <w:r>
              <w:rPr>
                <w:rFonts w:ascii="Calibri" w:cs="Calibri" w:eastAsia="Calibri" w:hAnsi="Calibri"/>
                <w:b/>
                <w:bCs/>
                <w:color w:val="C0392B"/>
                <w:sz w:val="20"/>
                <w:szCs w:val="20"/>
              </w:rPr>
              <w:t xml:space="preserve">Critical</w:t>
            </w:r>
          </w:p>
        </w:tc>
      </w:tr>
      <w:tr>
        <w:tc>
          <w:tcPr>
            <w:tcW w:type="dxa" w:w="400"/>
            <w:tcBorders>
              <w:top w:val="single" w:color="BDD0E9" w:sz="4"/>
              <w:left w:val="single" w:color="BDD0E9" w:sz="4"/>
              <w:bottom w:val="single" w:color="BDD0E9" w:sz="4"/>
              <w:right w:val="single" w:color="BDD0E9" w:sz="4"/>
            </w:tcBorders>
            <w:shd w:fill="FFFFFF" w:val="clear"/>
            <w:tcMar>
              <w:top w:type="dxa" w:w="80"/>
              <w:left w:type="dxa" w:w="100"/>
              <w:bottom w:type="dxa" w:w="80"/>
              <w:right w:type="dxa" w:w="100"/>
            </w:tcMar>
          </w:tcPr>
          <w:p>
            <w:r>
              <w:rPr>
                <w:rFonts w:ascii="Calibri" w:cs="Calibri" w:eastAsia="Calibri" w:hAnsi="Calibri"/>
                <w:b/>
                <w:bCs/>
                <w:sz w:val="20"/>
                <w:szCs w:val="20"/>
              </w:rPr>
              <w:t xml:space="preserve">TC-02</w:t>
            </w:r>
          </w:p>
        </w:tc>
        <w:tc>
          <w:tcPr>
            <w:tcW w:type="dxa" w:w="556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All Service Principals are provisioned with minimum required API permissions only; no over-privileged permissions are granted.</w:t>
            </w:r>
          </w:p>
        </w:tc>
        <w:tc>
          <w:tcPr>
            <w:tcW w:type="dxa" w:w="180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Authentication</w:t>
            </w:r>
          </w:p>
        </w:tc>
        <w:tc>
          <w:tcPr>
            <w:tcW w:type="dxa" w:w="1600"/>
            <w:tcBorders>
              <w:top w:val="single" w:color="BDD0E9" w:sz="4"/>
              <w:left w:val="single" w:color="BDD0E9" w:sz="4"/>
              <w:bottom w:val="single" w:color="BDD0E9" w:sz="4"/>
              <w:right w:val="single" w:color="BDD0E9" w:sz="4"/>
            </w:tcBorders>
            <w:shd w:fill="FFF2F0" w:val="clear"/>
            <w:tcMar>
              <w:top w:type="dxa" w:w="80"/>
              <w:left w:type="dxa" w:w="120"/>
              <w:bottom w:type="dxa" w:w="80"/>
              <w:right w:type="dxa" w:w="120"/>
            </w:tcMar>
          </w:tcPr>
          <w:p>
            <w:r>
              <w:rPr>
                <w:rFonts w:ascii="Calibri" w:cs="Calibri" w:eastAsia="Calibri" w:hAnsi="Calibri"/>
                <w:b/>
                <w:bCs/>
                <w:color w:val="C0392B"/>
                <w:sz w:val="20"/>
                <w:szCs w:val="20"/>
              </w:rPr>
              <w:t xml:space="preserve">Critical</w:t>
            </w:r>
          </w:p>
        </w:tc>
      </w:tr>
      <w:tr>
        <w:tc>
          <w:tcPr>
            <w:tcW w:type="dxa" w:w="400"/>
            <w:tcBorders>
              <w:top w:val="single" w:color="BDD0E9" w:sz="4"/>
              <w:left w:val="single" w:color="BDD0E9" w:sz="4"/>
              <w:bottom w:val="single" w:color="BDD0E9" w:sz="4"/>
              <w:right w:val="single" w:color="BDD0E9" w:sz="4"/>
            </w:tcBorders>
            <w:shd w:fill="D6E4F7" w:val="clear"/>
            <w:tcMar>
              <w:top w:type="dxa" w:w="80"/>
              <w:left w:type="dxa" w:w="100"/>
              <w:bottom w:type="dxa" w:w="80"/>
              <w:right w:type="dxa" w:w="100"/>
            </w:tcMar>
          </w:tcPr>
          <w:p>
            <w:r>
              <w:rPr>
                <w:rFonts w:ascii="Calibri" w:cs="Calibri" w:eastAsia="Calibri" w:hAnsi="Calibri"/>
                <w:b/>
                <w:bCs/>
                <w:sz w:val="20"/>
                <w:szCs w:val="20"/>
              </w:rPr>
              <w:t xml:space="preserve">TC-03</w:t>
            </w:r>
          </w:p>
        </w:tc>
        <w:tc>
          <w:tcPr>
            <w:tcW w:type="dxa" w:w="556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Certificates are stored in Azure Key Vault with access restricted to the execution service identity; no certificate material is stored on disk or in scripts.</w:t>
            </w:r>
          </w:p>
        </w:tc>
        <w:tc>
          <w:tcPr>
            <w:tcW w:type="dxa" w:w="180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Security</w:t>
            </w:r>
          </w:p>
        </w:tc>
        <w:tc>
          <w:tcPr>
            <w:tcW w:type="dxa" w:w="1600"/>
            <w:tcBorders>
              <w:top w:val="single" w:color="BDD0E9" w:sz="4"/>
              <w:left w:val="single" w:color="BDD0E9" w:sz="4"/>
              <w:bottom w:val="single" w:color="BDD0E9" w:sz="4"/>
              <w:right w:val="single" w:color="BDD0E9" w:sz="4"/>
            </w:tcBorders>
            <w:shd w:fill="FFF2F0" w:val="clear"/>
            <w:tcMar>
              <w:top w:type="dxa" w:w="80"/>
              <w:left w:type="dxa" w:w="120"/>
              <w:bottom w:type="dxa" w:w="80"/>
              <w:right w:type="dxa" w:w="120"/>
            </w:tcMar>
          </w:tcPr>
          <w:p>
            <w:r>
              <w:rPr>
                <w:rFonts w:ascii="Calibri" w:cs="Calibri" w:eastAsia="Calibri" w:hAnsi="Calibri"/>
                <w:b/>
                <w:bCs/>
                <w:color w:val="C0392B"/>
                <w:sz w:val="20"/>
                <w:szCs w:val="20"/>
              </w:rPr>
              <w:t xml:space="preserve">Critical</w:t>
            </w:r>
          </w:p>
        </w:tc>
      </w:tr>
      <w:tr>
        <w:tc>
          <w:tcPr>
            <w:tcW w:type="dxa" w:w="400"/>
            <w:tcBorders>
              <w:top w:val="single" w:color="BDD0E9" w:sz="4"/>
              <w:left w:val="single" w:color="BDD0E9" w:sz="4"/>
              <w:bottom w:val="single" w:color="BDD0E9" w:sz="4"/>
              <w:right w:val="single" w:color="BDD0E9" w:sz="4"/>
            </w:tcBorders>
            <w:shd w:fill="FFFFFF" w:val="clear"/>
            <w:tcMar>
              <w:top w:type="dxa" w:w="80"/>
              <w:left w:type="dxa" w:w="100"/>
              <w:bottom w:type="dxa" w:w="80"/>
              <w:right w:type="dxa" w:w="100"/>
            </w:tcMar>
          </w:tcPr>
          <w:p>
            <w:r>
              <w:rPr>
                <w:rFonts w:ascii="Calibri" w:cs="Calibri" w:eastAsia="Calibri" w:hAnsi="Calibri"/>
                <w:b/>
                <w:bCs/>
                <w:sz w:val="20"/>
                <w:szCs w:val="20"/>
              </w:rPr>
              <w:t xml:space="preserve">TC-04</w:t>
            </w:r>
          </w:p>
        </w:tc>
        <w:tc>
          <w:tcPr>
            <w:tcW w:type="dxa" w:w="556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Configuration export successfully captures the current state of all Phase 1 in-scope workloads (Entra ID, Exchange Online, SharePoint Online, Teams, Security &amp; Compliance, Defender).</w:t>
            </w:r>
          </w:p>
        </w:tc>
        <w:tc>
          <w:tcPr>
            <w:tcW w:type="dxa" w:w="180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Functionality</w:t>
            </w:r>
          </w:p>
        </w:tc>
        <w:tc>
          <w:tcPr>
            <w:tcW w:type="dxa" w:w="1600"/>
            <w:tcBorders>
              <w:top w:val="single" w:color="BDD0E9" w:sz="4"/>
              <w:left w:val="single" w:color="BDD0E9" w:sz="4"/>
              <w:bottom w:val="single" w:color="BDD0E9" w:sz="4"/>
              <w:right w:val="single" w:color="BDD0E9" w:sz="4"/>
            </w:tcBorders>
            <w:shd w:fill="FFF2F0" w:val="clear"/>
            <w:tcMar>
              <w:top w:type="dxa" w:w="80"/>
              <w:left w:type="dxa" w:w="120"/>
              <w:bottom w:type="dxa" w:w="80"/>
              <w:right w:type="dxa" w:w="120"/>
            </w:tcMar>
          </w:tcPr>
          <w:p>
            <w:r>
              <w:rPr>
                <w:rFonts w:ascii="Calibri" w:cs="Calibri" w:eastAsia="Calibri" w:hAnsi="Calibri"/>
                <w:b/>
                <w:bCs/>
                <w:color w:val="C0392B"/>
                <w:sz w:val="20"/>
                <w:szCs w:val="20"/>
              </w:rPr>
              <w:t xml:space="preserve">Critical</w:t>
            </w:r>
          </w:p>
        </w:tc>
      </w:tr>
      <w:tr>
        <w:tc>
          <w:tcPr>
            <w:tcW w:type="dxa" w:w="400"/>
            <w:tcBorders>
              <w:top w:val="single" w:color="BDD0E9" w:sz="4"/>
              <w:left w:val="single" w:color="BDD0E9" w:sz="4"/>
              <w:bottom w:val="single" w:color="BDD0E9" w:sz="4"/>
              <w:right w:val="single" w:color="BDD0E9" w:sz="4"/>
            </w:tcBorders>
            <w:shd w:fill="D6E4F7" w:val="clear"/>
            <w:tcMar>
              <w:top w:type="dxa" w:w="80"/>
              <w:left w:type="dxa" w:w="100"/>
              <w:bottom w:type="dxa" w:w="80"/>
              <w:right w:type="dxa" w:w="100"/>
            </w:tcMar>
          </w:tcPr>
          <w:p>
            <w:r>
              <w:rPr>
                <w:rFonts w:ascii="Calibri" w:cs="Calibri" w:eastAsia="Calibri" w:hAnsi="Calibri"/>
                <w:b/>
                <w:bCs/>
                <w:sz w:val="20"/>
                <w:szCs w:val="20"/>
              </w:rPr>
              <w:t xml:space="preserve">TC-05</w:t>
            </w:r>
          </w:p>
        </w:tc>
        <w:tc>
          <w:tcPr>
            <w:tcW w:type="dxa" w:w="556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Configuration drift detection executes on the scheduled cadence and produces accurate drift reports identifying all changed settings against the approved baseline.</w:t>
            </w:r>
          </w:p>
        </w:tc>
        <w:tc>
          <w:tcPr>
            <w:tcW w:type="dxa" w:w="180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Functionality</w:t>
            </w:r>
          </w:p>
        </w:tc>
        <w:tc>
          <w:tcPr>
            <w:tcW w:type="dxa" w:w="1600"/>
            <w:tcBorders>
              <w:top w:val="single" w:color="BDD0E9" w:sz="4"/>
              <w:left w:val="single" w:color="BDD0E9" w:sz="4"/>
              <w:bottom w:val="single" w:color="BDD0E9" w:sz="4"/>
              <w:right w:val="single" w:color="BDD0E9" w:sz="4"/>
            </w:tcBorders>
            <w:shd w:fill="FFF2F0" w:val="clear"/>
            <w:tcMar>
              <w:top w:type="dxa" w:w="80"/>
              <w:left w:type="dxa" w:w="120"/>
              <w:bottom w:type="dxa" w:w="80"/>
              <w:right w:type="dxa" w:w="120"/>
            </w:tcMar>
          </w:tcPr>
          <w:p>
            <w:r>
              <w:rPr>
                <w:rFonts w:ascii="Calibri" w:cs="Calibri" w:eastAsia="Calibri" w:hAnsi="Calibri"/>
                <w:b/>
                <w:bCs/>
                <w:color w:val="C0392B"/>
                <w:sz w:val="20"/>
                <w:szCs w:val="20"/>
              </w:rPr>
              <w:t xml:space="preserve">Critical</w:t>
            </w:r>
          </w:p>
        </w:tc>
      </w:tr>
      <w:tr>
        <w:tc>
          <w:tcPr>
            <w:tcW w:type="dxa" w:w="400"/>
            <w:tcBorders>
              <w:top w:val="single" w:color="BDD0E9" w:sz="4"/>
              <w:left w:val="single" w:color="BDD0E9" w:sz="4"/>
              <w:bottom w:val="single" w:color="BDD0E9" w:sz="4"/>
              <w:right w:val="single" w:color="BDD0E9" w:sz="4"/>
            </w:tcBorders>
            <w:shd w:fill="FFFFFF" w:val="clear"/>
            <w:tcMar>
              <w:top w:type="dxa" w:w="80"/>
              <w:left w:type="dxa" w:w="100"/>
              <w:bottom w:type="dxa" w:w="80"/>
              <w:right w:type="dxa" w:w="100"/>
            </w:tcMar>
          </w:tcPr>
          <w:p>
            <w:r>
              <w:rPr>
                <w:rFonts w:ascii="Calibri" w:cs="Calibri" w:eastAsia="Calibri" w:hAnsi="Calibri"/>
                <w:b/>
                <w:bCs/>
                <w:sz w:val="20"/>
                <w:szCs w:val="20"/>
              </w:rPr>
              <w:t xml:space="preserve">TC-06</w:t>
            </w:r>
          </w:p>
        </w:tc>
        <w:tc>
          <w:tcPr>
            <w:tcW w:type="dxa" w:w="556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Drift alerts are successfully delivered to the Tenant Administration team and SOC via configured alerting channels within 15 minutes of drift detection.</w:t>
            </w:r>
          </w:p>
        </w:tc>
        <w:tc>
          <w:tcPr>
            <w:tcW w:type="dxa" w:w="180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Monitoring</w:t>
            </w:r>
          </w:p>
        </w:tc>
        <w:tc>
          <w:tcPr>
            <w:tcW w:type="dxa" w:w="1600"/>
            <w:tcBorders>
              <w:top w:val="single" w:color="BDD0E9" w:sz="4"/>
              <w:left w:val="single" w:color="BDD0E9" w:sz="4"/>
              <w:bottom w:val="single" w:color="BDD0E9" w:sz="4"/>
              <w:right w:val="single" w:color="BDD0E9" w:sz="4"/>
            </w:tcBorders>
            <w:shd w:fill="FFFBF0" w:val="clear"/>
            <w:tcMar>
              <w:top w:type="dxa" w:w="80"/>
              <w:left w:type="dxa" w:w="120"/>
              <w:bottom w:type="dxa" w:w="80"/>
              <w:right w:type="dxa" w:w="120"/>
            </w:tcMar>
          </w:tcPr>
          <w:p>
            <w:r>
              <w:rPr>
                <w:rFonts w:ascii="Calibri" w:cs="Calibri" w:eastAsia="Calibri" w:hAnsi="Calibri"/>
                <w:b/>
                <w:bCs/>
                <w:color w:val="D4860A"/>
                <w:sz w:val="20"/>
                <w:szCs w:val="20"/>
              </w:rPr>
              <w:t xml:space="preserve">High</w:t>
            </w:r>
          </w:p>
        </w:tc>
      </w:tr>
      <w:tr>
        <w:tc>
          <w:tcPr>
            <w:tcW w:type="dxa" w:w="400"/>
            <w:tcBorders>
              <w:top w:val="single" w:color="BDD0E9" w:sz="4"/>
              <w:left w:val="single" w:color="BDD0E9" w:sz="4"/>
              <w:bottom w:val="single" w:color="BDD0E9" w:sz="4"/>
              <w:right w:val="single" w:color="BDD0E9" w:sz="4"/>
            </w:tcBorders>
            <w:shd w:fill="D6E4F7" w:val="clear"/>
            <w:tcMar>
              <w:top w:type="dxa" w:w="80"/>
              <w:left w:type="dxa" w:w="100"/>
              <w:bottom w:type="dxa" w:w="80"/>
              <w:right w:type="dxa" w:w="100"/>
            </w:tcMar>
          </w:tcPr>
          <w:p>
            <w:r>
              <w:rPr>
                <w:rFonts w:ascii="Calibri" w:cs="Calibri" w:eastAsia="Calibri" w:hAnsi="Calibri"/>
                <w:b/>
                <w:bCs/>
                <w:sz w:val="20"/>
                <w:szCs w:val="20"/>
              </w:rPr>
              <w:t xml:space="preserve">TC-07</w:t>
            </w:r>
          </w:p>
        </w:tc>
        <w:tc>
          <w:tcPr>
            <w:tcW w:type="dxa" w:w="556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All DSC operations are captured in the audit log with sufficient detail to identify: the operation performed, the service principal used, the timestamp, and the outcome.</w:t>
            </w:r>
          </w:p>
        </w:tc>
        <w:tc>
          <w:tcPr>
            <w:tcW w:type="dxa" w:w="180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Audit &amp; Compliance</w:t>
            </w:r>
          </w:p>
        </w:tc>
        <w:tc>
          <w:tcPr>
            <w:tcW w:type="dxa" w:w="1600"/>
            <w:tcBorders>
              <w:top w:val="single" w:color="BDD0E9" w:sz="4"/>
              <w:left w:val="single" w:color="BDD0E9" w:sz="4"/>
              <w:bottom w:val="single" w:color="BDD0E9" w:sz="4"/>
              <w:right w:val="single" w:color="BDD0E9" w:sz="4"/>
            </w:tcBorders>
            <w:shd w:fill="FFF2F0" w:val="clear"/>
            <w:tcMar>
              <w:top w:type="dxa" w:w="80"/>
              <w:left w:type="dxa" w:w="120"/>
              <w:bottom w:type="dxa" w:w="80"/>
              <w:right w:type="dxa" w:w="120"/>
            </w:tcMar>
          </w:tcPr>
          <w:p>
            <w:r>
              <w:rPr>
                <w:rFonts w:ascii="Calibri" w:cs="Calibri" w:eastAsia="Calibri" w:hAnsi="Calibri"/>
                <w:b/>
                <w:bCs/>
                <w:color w:val="C0392B"/>
                <w:sz w:val="20"/>
                <w:szCs w:val="20"/>
              </w:rPr>
              <w:t xml:space="preserve">Critical</w:t>
            </w:r>
          </w:p>
        </w:tc>
      </w:tr>
      <w:tr>
        <w:tc>
          <w:tcPr>
            <w:tcW w:type="dxa" w:w="400"/>
            <w:tcBorders>
              <w:top w:val="single" w:color="BDD0E9" w:sz="4"/>
              <w:left w:val="single" w:color="BDD0E9" w:sz="4"/>
              <w:bottom w:val="single" w:color="BDD0E9" w:sz="4"/>
              <w:right w:val="single" w:color="BDD0E9" w:sz="4"/>
            </w:tcBorders>
            <w:shd w:fill="FFFFFF" w:val="clear"/>
            <w:tcMar>
              <w:top w:type="dxa" w:w="80"/>
              <w:left w:type="dxa" w:w="100"/>
              <w:bottom w:type="dxa" w:w="80"/>
              <w:right w:type="dxa" w:w="100"/>
            </w:tcMar>
          </w:tcPr>
          <w:p>
            <w:r>
              <w:rPr>
                <w:rFonts w:ascii="Calibri" w:cs="Calibri" w:eastAsia="Calibri" w:hAnsi="Calibri"/>
                <w:b/>
                <w:bCs/>
                <w:sz w:val="20"/>
                <w:szCs w:val="20"/>
              </w:rPr>
              <w:t xml:space="preserve">TC-08</w:t>
            </w:r>
          </w:p>
        </w:tc>
        <w:tc>
          <w:tcPr>
            <w:tcW w:type="dxa" w:w="556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Configuration export files stored in Azure Blob Storage are encrypted at rest, accessible only via private endpoint, and protected by immutable retention policies.</w:t>
            </w:r>
          </w:p>
        </w:tc>
        <w:tc>
          <w:tcPr>
            <w:tcW w:type="dxa" w:w="180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Security</w:t>
            </w:r>
          </w:p>
        </w:tc>
        <w:tc>
          <w:tcPr>
            <w:tcW w:type="dxa" w:w="1600"/>
            <w:tcBorders>
              <w:top w:val="single" w:color="BDD0E9" w:sz="4"/>
              <w:left w:val="single" w:color="BDD0E9" w:sz="4"/>
              <w:bottom w:val="single" w:color="BDD0E9" w:sz="4"/>
              <w:right w:val="single" w:color="BDD0E9" w:sz="4"/>
            </w:tcBorders>
            <w:shd w:fill="FFF2F0" w:val="clear"/>
            <w:tcMar>
              <w:top w:type="dxa" w:w="80"/>
              <w:left w:type="dxa" w:w="120"/>
              <w:bottom w:type="dxa" w:w="80"/>
              <w:right w:type="dxa" w:w="120"/>
            </w:tcMar>
          </w:tcPr>
          <w:p>
            <w:r>
              <w:rPr>
                <w:rFonts w:ascii="Calibri" w:cs="Calibri" w:eastAsia="Calibri" w:hAnsi="Calibri"/>
                <w:b/>
                <w:bCs/>
                <w:color w:val="C0392B"/>
                <w:sz w:val="20"/>
                <w:szCs w:val="20"/>
              </w:rPr>
              <w:t xml:space="preserve">Critical</w:t>
            </w:r>
          </w:p>
        </w:tc>
      </w:tr>
      <w:tr>
        <w:tc>
          <w:tcPr>
            <w:tcW w:type="dxa" w:w="400"/>
            <w:tcBorders>
              <w:top w:val="single" w:color="BDD0E9" w:sz="4"/>
              <w:left w:val="single" w:color="BDD0E9" w:sz="4"/>
              <w:bottom w:val="single" w:color="BDD0E9" w:sz="4"/>
              <w:right w:val="single" w:color="BDD0E9" w:sz="4"/>
            </w:tcBorders>
            <w:shd w:fill="D6E4F7" w:val="clear"/>
            <w:tcMar>
              <w:top w:type="dxa" w:w="80"/>
              <w:left w:type="dxa" w:w="100"/>
              <w:bottom w:type="dxa" w:w="80"/>
              <w:right w:type="dxa" w:w="100"/>
            </w:tcMar>
          </w:tcPr>
          <w:p>
            <w:r>
              <w:rPr>
                <w:rFonts w:ascii="Calibri" w:cs="Calibri" w:eastAsia="Calibri" w:hAnsi="Calibri"/>
                <w:b/>
                <w:bCs/>
                <w:sz w:val="20"/>
                <w:szCs w:val="20"/>
              </w:rPr>
              <w:t xml:space="preserve">TC-09</w:t>
            </w:r>
          </w:p>
        </w:tc>
        <w:tc>
          <w:tcPr>
            <w:tcW w:type="dxa" w:w="556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The solution executes within Microsoft Graph API rate limits without generating throttling errors during normal scheduled operations.</w:t>
            </w:r>
          </w:p>
        </w:tc>
        <w:tc>
          <w:tcPr>
            <w:tcW w:type="dxa" w:w="180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Performance</w:t>
            </w:r>
          </w:p>
        </w:tc>
        <w:tc>
          <w:tcPr>
            <w:tcW w:type="dxa" w:w="1600"/>
            <w:tcBorders>
              <w:top w:val="single" w:color="BDD0E9" w:sz="4"/>
              <w:left w:val="single" w:color="BDD0E9" w:sz="4"/>
              <w:bottom w:val="single" w:color="BDD0E9" w:sz="4"/>
              <w:right w:val="single" w:color="BDD0E9" w:sz="4"/>
            </w:tcBorders>
            <w:shd w:fill="FFFBF0" w:val="clear"/>
            <w:tcMar>
              <w:top w:type="dxa" w:w="80"/>
              <w:left w:type="dxa" w:w="120"/>
              <w:bottom w:type="dxa" w:w="80"/>
              <w:right w:type="dxa" w:w="120"/>
            </w:tcMar>
          </w:tcPr>
          <w:p>
            <w:r>
              <w:rPr>
                <w:rFonts w:ascii="Calibri" w:cs="Calibri" w:eastAsia="Calibri" w:hAnsi="Calibri"/>
                <w:b/>
                <w:bCs/>
                <w:color w:val="D4860A"/>
                <w:sz w:val="20"/>
                <w:szCs w:val="20"/>
              </w:rPr>
              <w:t xml:space="preserve">High</w:t>
            </w:r>
          </w:p>
        </w:tc>
      </w:tr>
      <w:tr>
        <w:tc>
          <w:tcPr>
            <w:tcW w:type="dxa" w:w="400"/>
            <w:tcBorders>
              <w:top w:val="single" w:color="BDD0E9" w:sz="4"/>
              <w:left w:val="single" w:color="BDD0E9" w:sz="4"/>
              <w:bottom w:val="single" w:color="BDD0E9" w:sz="4"/>
              <w:right w:val="single" w:color="BDD0E9" w:sz="4"/>
            </w:tcBorders>
            <w:shd w:fill="FFFFFF" w:val="clear"/>
            <w:tcMar>
              <w:top w:type="dxa" w:w="80"/>
              <w:left w:type="dxa" w:w="100"/>
              <w:bottom w:type="dxa" w:w="80"/>
              <w:right w:type="dxa" w:w="100"/>
            </w:tcMar>
          </w:tcPr>
          <w:p>
            <w:r>
              <w:rPr>
                <w:rFonts w:ascii="Calibri" w:cs="Calibri" w:eastAsia="Calibri" w:hAnsi="Calibri"/>
                <w:b/>
                <w:bCs/>
                <w:sz w:val="20"/>
                <w:szCs w:val="20"/>
              </w:rPr>
              <w:t xml:space="preserve">TC-10</w:t>
            </w:r>
          </w:p>
        </w:tc>
        <w:tc>
          <w:tcPr>
            <w:tcW w:type="dxa" w:w="556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High availability is demonstrated by the execution environment remaining operational following simulated failure of a single component.</w:t>
            </w:r>
          </w:p>
        </w:tc>
        <w:tc>
          <w:tcPr>
            <w:tcW w:type="dxa" w:w="180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Availability</w:t>
            </w:r>
          </w:p>
        </w:tc>
        <w:tc>
          <w:tcPr>
            <w:tcW w:type="dxa" w:w="1600"/>
            <w:tcBorders>
              <w:top w:val="single" w:color="BDD0E9" w:sz="4"/>
              <w:left w:val="single" w:color="BDD0E9" w:sz="4"/>
              <w:bottom w:val="single" w:color="BDD0E9" w:sz="4"/>
              <w:right w:val="single" w:color="BDD0E9" w:sz="4"/>
            </w:tcBorders>
            <w:shd w:fill="FFFBF0" w:val="clear"/>
            <w:tcMar>
              <w:top w:type="dxa" w:w="80"/>
              <w:left w:type="dxa" w:w="120"/>
              <w:bottom w:type="dxa" w:w="80"/>
              <w:right w:type="dxa" w:w="120"/>
            </w:tcMar>
          </w:tcPr>
          <w:p>
            <w:r>
              <w:rPr>
                <w:rFonts w:ascii="Calibri" w:cs="Calibri" w:eastAsia="Calibri" w:hAnsi="Calibri"/>
                <w:b/>
                <w:bCs/>
                <w:color w:val="D4860A"/>
                <w:sz w:val="20"/>
                <w:szCs w:val="20"/>
              </w:rPr>
              <w:t xml:space="preserve">High</w:t>
            </w:r>
          </w:p>
        </w:tc>
      </w:tr>
      <w:tr>
        <w:tc>
          <w:tcPr>
            <w:tcW w:type="dxa" w:w="400"/>
            <w:tcBorders>
              <w:top w:val="single" w:color="BDD0E9" w:sz="4"/>
              <w:left w:val="single" w:color="BDD0E9" w:sz="4"/>
              <w:bottom w:val="single" w:color="BDD0E9" w:sz="4"/>
              <w:right w:val="single" w:color="BDD0E9" w:sz="4"/>
            </w:tcBorders>
            <w:shd w:fill="D6E4F7" w:val="clear"/>
            <w:tcMar>
              <w:top w:type="dxa" w:w="80"/>
              <w:left w:type="dxa" w:w="100"/>
              <w:bottom w:type="dxa" w:w="80"/>
              <w:right w:type="dxa" w:w="100"/>
            </w:tcMar>
          </w:tcPr>
          <w:p>
            <w:r>
              <w:rPr>
                <w:rFonts w:ascii="Calibri" w:cs="Calibri" w:eastAsia="Calibri" w:hAnsi="Calibri"/>
                <w:b/>
                <w:bCs/>
                <w:sz w:val="20"/>
                <w:szCs w:val="20"/>
              </w:rPr>
              <w:t xml:space="preserve">TC-11</w:t>
            </w:r>
          </w:p>
        </w:tc>
        <w:tc>
          <w:tcPr>
            <w:tcW w:type="dxa" w:w="556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Certificate rotation process is tested and documented; rotation completes without service interruption and without requiring manual credential updates.</w:t>
            </w:r>
          </w:p>
        </w:tc>
        <w:tc>
          <w:tcPr>
            <w:tcW w:type="dxa" w:w="180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Operations</w:t>
            </w:r>
          </w:p>
        </w:tc>
        <w:tc>
          <w:tcPr>
            <w:tcW w:type="dxa" w:w="1600"/>
            <w:tcBorders>
              <w:top w:val="single" w:color="BDD0E9" w:sz="4"/>
              <w:left w:val="single" w:color="BDD0E9" w:sz="4"/>
              <w:bottom w:val="single" w:color="BDD0E9" w:sz="4"/>
              <w:right w:val="single" w:color="BDD0E9" w:sz="4"/>
            </w:tcBorders>
            <w:shd w:fill="FFFBF0" w:val="clear"/>
            <w:tcMar>
              <w:top w:type="dxa" w:w="80"/>
              <w:left w:type="dxa" w:w="120"/>
              <w:bottom w:type="dxa" w:w="80"/>
              <w:right w:type="dxa" w:w="120"/>
            </w:tcMar>
          </w:tcPr>
          <w:p>
            <w:r>
              <w:rPr>
                <w:rFonts w:ascii="Calibri" w:cs="Calibri" w:eastAsia="Calibri" w:hAnsi="Calibri"/>
                <w:b/>
                <w:bCs/>
                <w:color w:val="D4860A"/>
                <w:sz w:val="20"/>
                <w:szCs w:val="20"/>
              </w:rPr>
              <w:t xml:space="preserve">High</w:t>
            </w:r>
          </w:p>
        </w:tc>
      </w:tr>
      <w:tr>
        <w:tc>
          <w:tcPr>
            <w:tcW w:type="dxa" w:w="400"/>
            <w:tcBorders>
              <w:top w:val="single" w:color="BDD0E9" w:sz="4"/>
              <w:left w:val="single" w:color="BDD0E9" w:sz="4"/>
              <w:bottom w:val="single" w:color="BDD0E9" w:sz="4"/>
              <w:right w:val="single" w:color="BDD0E9" w:sz="4"/>
            </w:tcBorders>
            <w:shd w:fill="FFFFFF" w:val="clear"/>
            <w:tcMar>
              <w:top w:type="dxa" w:w="80"/>
              <w:left w:type="dxa" w:w="100"/>
              <w:bottom w:type="dxa" w:w="80"/>
              <w:right w:type="dxa" w:w="100"/>
            </w:tcMar>
          </w:tcPr>
          <w:p>
            <w:r>
              <w:rPr>
                <w:rFonts w:ascii="Calibri" w:cs="Calibri" w:eastAsia="Calibri" w:hAnsi="Calibri"/>
                <w:b/>
                <w:bCs/>
                <w:sz w:val="20"/>
                <w:szCs w:val="20"/>
              </w:rPr>
              <w:t xml:space="preserve">TC-12</w:t>
            </w:r>
          </w:p>
        </w:tc>
        <w:tc>
          <w:tcPr>
            <w:tcW w:type="dxa" w:w="556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DSC configuration files are stored in version control with full change history; all changes are associated with an approved change record.</w:t>
            </w:r>
          </w:p>
        </w:tc>
        <w:tc>
          <w:tcPr>
            <w:tcW w:type="dxa" w:w="180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Change Management</w:t>
            </w:r>
          </w:p>
        </w:tc>
        <w:tc>
          <w:tcPr>
            <w:tcW w:type="dxa" w:w="1600"/>
            <w:tcBorders>
              <w:top w:val="single" w:color="BDD0E9" w:sz="4"/>
              <w:left w:val="single" w:color="BDD0E9" w:sz="4"/>
              <w:bottom w:val="single" w:color="BDD0E9" w:sz="4"/>
              <w:right w:val="single" w:color="BDD0E9" w:sz="4"/>
            </w:tcBorders>
            <w:shd w:fill="FFFBF0" w:val="clear"/>
            <w:tcMar>
              <w:top w:type="dxa" w:w="80"/>
              <w:left w:type="dxa" w:w="120"/>
              <w:bottom w:type="dxa" w:w="80"/>
              <w:right w:type="dxa" w:w="120"/>
            </w:tcMar>
          </w:tcPr>
          <w:p>
            <w:r>
              <w:rPr>
                <w:rFonts w:ascii="Calibri" w:cs="Calibri" w:eastAsia="Calibri" w:hAnsi="Calibri"/>
                <w:b/>
                <w:bCs/>
                <w:color w:val="D4860A"/>
                <w:sz w:val="20"/>
                <w:szCs w:val="20"/>
              </w:rPr>
              <w:t xml:space="preserve">High</w:t>
            </w:r>
          </w:p>
        </w:tc>
      </w:tr>
    </w:tbl>
    <w:p>
      <w:pPr>
        <w:spacing w:before="120" w:after="80"/>
      </w:pPr>
    </w:p>
    <w:p>
      <w:pPr>
        <w:pStyle w:val="Heading2"/>
        <w:spacing w:before="300" w:after="160"/>
      </w:pPr>
      <w:r>
        <w:rPr>
          <w:rFonts w:ascii="Calibri" w:cs="Calibri" w:eastAsia="Calibri" w:hAnsi="Calibri"/>
          <w:b/>
          <w:bCs/>
          <w:color w:val="4472C4"/>
          <w:sz w:val="26"/>
          <w:szCs w:val="26"/>
        </w:rPr>
        <w:t xml:space="preserve">2.2 Compliance Checks</w:t>
      </w:r>
    </w:p>
    <w:p>
      <w:pPr>
        <w:pStyle w:val="ListParagraph"/>
        <w:numPr>
          <w:ilvl w:val="0"/>
          <w:numId w:val="2"/>
        </w:numPr>
        <w:spacing w:before="60" w:after="60"/>
      </w:pPr>
      <w:r>
        <w:rPr>
          <w:rFonts w:ascii="Calibri" w:cs="Calibri" w:eastAsia="Calibri" w:hAnsi="Calibri"/>
          <w:sz w:val="22"/>
          <w:szCs w:val="22"/>
        </w:rPr>
        <w:t xml:space="preserve">All Service Principals and their associated permissions have been reviewed and approved by the CISO team prior to production provisioning.</w:t>
      </w:r>
    </w:p>
    <w:p>
      <w:pPr>
        <w:pStyle w:val="ListParagraph"/>
        <w:numPr>
          <w:ilvl w:val="0"/>
          <w:numId w:val="2"/>
        </w:numPr>
        <w:spacing w:before="60" w:after="60"/>
      </w:pPr>
      <w:r>
        <w:rPr>
          <w:rFonts w:ascii="Calibri" w:cs="Calibri" w:eastAsia="Calibri" w:hAnsi="Calibri"/>
          <w:sz w:val="22"/>
          <w:szCs w:val="22"/>
        </w:rPr>
        <w:t xml:space="preserve">Data residency requirements are met; configuration export data is stored in the approved Azure region aligned with organisational data governance policy.</w:t>
      </w:r>
    </w:p>
    <w:p>
      <w:pPr>
        <w:pStyle w:val="ListParagraph"/>
        <w:numPr>
          <w:ilvl w:val="0"/>
          <w:numId w:val="2"/>
        </w:numPr>
        <w:spacing w:before="60" w:after="60"/>
      </w:pPr>
      <w:r>
        <w:rPr>
          <w:rFonts w:ascii="Calibri" w:cs="Calibri" w:eastAsia="Calibri" w:hAnsi="Calibri"/>
          <w:sz w:val="22"/>
          <w:szCs w:val="22"/>
        </w:rPr>
        <w:t xml:space="preserve">Azure Key Vault configuration has been reviewed against organisational security standards, including access policies, diagnostic logging, and soft-delete/purge protection settings.</w:t>
      </w:r>
    </w:p>
    <w:p>
      <w:pPr>
        <w:pStyle w:val="ListParagraph"/>
        <w:numPr>
          <w:ilvl w:val="0"/>
          <w:numId w:val="2"/>
        </w:numPr>
        <w:spacing w:before="60" w:after="60"/>
      </w:pPr>
      <w:r>
        <w:rPr>
          <w:rFonts w:ascii="Calibri" w:cs="Calibri" w:eastAsia="Calibri" w:hAnsi="Calibri"/>
          <w:sz w:val="22"/>
          <w:szCs w:val="22"/>
        </w:rPr>
        <w:t xml:space="preserve">Privileged Identity Management (PIM) is enabled for administrative access to the M365 DSC execution environment and associated Azure resources.</w:t>
      </w:r>
    </w:p>
    <w:p>
      <w:pPr>
        <w:pStyle w:val="ListParagraph"/>
        <w:numPr>
          <w:ilvl w:val="0"/>
          <w:numId w:val="2"/>
        </w:numPr>
        <w:spacing w:before="60" w:after="60"/>
      </w:pPr>
      <w:r>
        <w:rPr>
          <w:rFonts w:ascii="Calibri" w:cs="Calibri" w:eastAsia="Calibri" w:hAnsi="Calibri"/>
          <w:sz w:val="22"/>
          <w:szCs w:val="22"/>
        </w:rPr>
        <w:t xml:space="preserve">An information security risk assessment has been completed and accepted by the risk owner prior to go-live.</w:t>
      </w:r>
    </w:p>
    <w:p>
      <w:pPr>
        <w:pStyle w:val="ListParagraph"/>
        <w:numPr>
          <w:ilvl w:val="0"/>
          <w:numId w:val="2"/>
        </w:numPr>
        <w:spacing w:before="60" w:after="60"/>
      </w:pPr>
      <w:r>
        <w:rPr>
          <w:rFonts w:ascii="Calibri" w:cs="Calibri" w:eastAsia="Calibri" w:hAnsi="Calibri"/>
          <w:sz w:val="22"/>
          <w:szCs w:val="22"/>
        </w:rPr>
        <w:t xml:space="preserve">All access to DSC configuration files and execution infrastructure is governed by role-based access control (RBAC) with no standing administrative access.</w:t>
      </w:r>
    </w:p>
    <w:p>
      <w:pPr>
        <w:pStyle w:val="ListParagraph"/>
        <w:numPr>
          <w:ilvl w:val="0"/>
          <w:numId w:val="2"/>
        </w:numPr>
        <w:spacing w:before="60" w:after="60"/>
      </w:pPr>
      <w:r>
        <w:rPr>
          <w:rFonts w:ascii="Calibri" w:cs="Calibri" w:eastAsia="Calibri" w:hAnsi="Calibri"/>
          <w:sz w:val="22"/>
          <w:szCs w:val="22"/>
        </w:rPr>
        <w:t xml:space="preserve">Comprehensive audit logging is enabled for Azure Key Vault, Azure Storage, and all M365 DSC execution activities; logs are forwarded to the centralised SIEM platform.</w:t>
      </w:r>
    </w:p>
    <w:p>
      <w:pPr>
        <w:spacing w:before="120" w:after="80"/>
      </w:pPr>
    </w:p>
    <w:p>
      <w:pPr>
        <w:pStyle w:val="Heading2"/>
        <w:spacing w:before="300" w:after="160"/>
      </w:pPr>
      <w:r>
        <w:rPr>
          <w:rFonts w:ascii="Calibri" w:cs="Calibri" w:eastAsia="Calibri" w:hAnsi="Calibri"/>
          <w:b/>
          <w:bCs/>
          <w:color w:val="4472C4"/>
          <w:sz w:val="26"/>
          <w:szCs w:val="26"/>
        </w:rPr>
        <w:t xml:space="preserve">2.3 Business Success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0E9" w:sz="4"/>
              <w:left w:val="single" w:color="BDD0E9" w:sz="4"/>
              <w:bottom w:val="single" w:color="BDD0E9" w:sz="4"/>
              <w:right w:val="single" w:color="BDD0E9" w:sz="4"/>
            </w:tcBorders>
            <w:shd w:fill="2F5597" w:val="clear"/>
            <w:tcMar>
              <w:top w:type="dxa" w:w="100"/>
              <w:left w:type="dxa" w:w="180"/>
              <w:bottom w:type="dxa" w:w="100"/>
              <w:right w:type="dxa" w:w="180"/>
            </w:tcMar>
          </w:tcPr>
          <w:p>
            <w:r>
              <w:rPr>
                <w:rFonts w:ascii="Calibri" w:cs="Calibri" w:eastAsia="Calibri" w:hAnsi="Calibri"/>
                <w:b/>
                <w:bCs/>
                <w:color w:val="FFFFFF"/>
                <w:sz w:val="22"/>
                <w:szCs w:val="22"/>
              </w:rPr>
              <w:t xml:space="preserve">Operational Success Criteria</w:t>
            </w:r>
          </w:p>
        </w:tc>
      </w:tr>
      <w:tr>
        <w:tc>
          <w:tcPr>
            <w:tcW w:type="dxa" w:w="9360"/>
            <w:tcBorders>
              <w:top w:val="single" w:color="BDD0E9" w:sz="4"/>
              <w:left w:val="single" w:color="BDD0E9" w:sz="4"/>
              <w:bottom w:val="single" w:color="BDD0E9" w:sz="4"/>
              <w:right w:val="single" w:color="BDD0E9" w:sz="4"/>
            </w:tcBorders>
            <w:shd w:fill="F2F6FC" w:val="clear"/>
            <w:tcMar>
              <w:top w:type="dxa" w:w="120"/>
              <w:left w:type="dxa" w:w="180"/>
              <w:bottom w:type="dxa" w:w="120"/>
              <w:right w:type="dxa" w:w="180"/>
            </w:tcMar>
          </w:tcPr>
          <w:p>
            <w:pPr>
              <w:spacing w:before="100" w:after="100"/>
            </w:pPr>
            <w:r>
              <w:rPr>
                <w:rFonts w:ascii="Calibri" w:cs="Calibri" w:eastAsia="Calibri" w:hAnsi="Calibri"/>
                <w:sz w:val="22"/>
                <w:szCs w:val="22"/>
              </w:rPr>
              <w:t xml:space="preserve">The following measures define business-level success for the M365 DSC implementation:</w:t>
            </w:r>
          </w:p>
          <w:p>
            <w:pPr>
              <w:spacing w:before="80" w:after="60"/>
            </w:pPr>
          </w:p>
          <w:p>
            <w:pPr>
              <w:pStyle w:val="ListParagraph"/>
              <w:numPr>
                <w:ilvl w:val="0"/>
                <w:numId w:val="2"/>
              </w:numPr>
              <w:spacing w:before="60" w:after="60"/>
            </w:pPr>
            <w:r>
              <w:rPr>
                <w:rFonts w:ascii="Calibri" w:cs="Calibri" w:eastAsia="Calibri" w:hAnsi="Calibri"/>
                <w:sz w:val="22"/>
                <w:szCs w:val="22"/>
              </w:rPr>
              <w:t xml:space="preserve">Configuration Baseline Established: A validated, approved baseline configuration export has been captured for all Phase 1 in-scope M365 workloads and stored in version control.</w:t>
            </w:r>
          </w:p>
          <w:p>
            <w:pPr>
              <w:pStyle w:val="ListParagraph"/>
              <w:numPr>
                <w:ilvl w:val="0"/>
                <w:numId w:val="2"/>
              </w:numPr>
              <w:spacing w:before="60" w:after="60"/>
            </w:pPr>
            <w:r>
              <w:rPr>
                <w:rFonts w:ascii="Calibri" w:cs="Calibri" w:eastAsia="Calibri" w:hAnsi="Calibri"/>
                <w:sz w:val="22"/>
                <w:szCs w:val="22"/>
              </w:rPr>
              <w:t xml:space="preserve">Drift Detection Operational: Configuration drift is automatically detected and reported within the agreed detection window (target: within 4 hours of change occurrence for scheduled checks).</w:t>
            </w:r>
          </w:p>
          <w:p>
            <w:pPr>
              <w:pStyle w:val="ListParagraph"/>
              <w:numPr>
                <w:ilvl w:val="0"/>
                <w:numId w:val="2"/>
              </w:numPr>
              <w:spacing w:before="60" w:after="60"/>
            </w:pPr>
            <w:r>
              <w:rPr>
                <w:rFonts w:ascii="Calibri" w:cs="Calibri" w:eastAsia="Calibri" w:hAnsi="Calibri"/>
                <w:sz w:val="22"/>
                <w:szCs w:val="22"/>
              </w:rPr>
              <w:t xml:space="preserve">Compliance Reporting Available: Automated compliance status reports are available to the CISO team and relevant stakeholders on a scheduled basis (weekly minimum), showing configuration compliance percentage by workload.</w:t>
            </w:r>
          </w:p>
          <w:p>
            <w:pPr>
              <w:pStyle w:val="ListParagraph"/>
              <w:numPr>
                <w:ilvl w:val="0"/>
                <w:numId w:val="2"/>
              </w:numPr>
              <w:spacing w:before="60" w:after="60"/>
            </w:pPr>
            <w:r>
              <w:rPr>
                <w:rFonts w:ascii="Calibri" w:cs="Calibri" w:eastAsia="Calibri" w:hAnsi="Calibri"/>
                <w:sz w:val="22"/>
                <w:szCs w:val="22"/>
              </w:rPr>
              <w:t xml:space="preserve">Zero Undetected Drift Events: During the initial 30-day hypercare period, no configuration drift events that occurred within the monitoring scope go undetected.</w:t>
            </w:r>
          </w:p>
          <w:p>
            <w:pPr>
              <w:pStyle w:val="ListParagraph"/>
              <w:numPr>
                <w:ilvl w:val="0"/>
                <w:numId w:val="2"/>
              </w:numPr>
              <w:spacing w:before="60" w:after="60"/>
            </w:pPr>
            <w:r>
              <w:rPr>
                <w:rFonts w:ascii="Calibri" w:cs="Calibri" w:eastAsia="Calibri" w:hAnsi="Calibri"/>
                <w:sz w:val="22"/>
                <w:szCs w:val="22"/>
              </w:rPr>
              <w:t xml:space="preserve">Operational Acceptance: The Tenant Administration team and SOC have confirmed they have received training, have access to required runbooks, and can operate the solution independently.</w:t>
            </w:r>
          </w:p>
          <w:p>
            <w:pPr>
              <w:pStyle w:val="ListParagraph"/>
              <w:numPr>
                <w:ilvl w:val="0"/>
                <w:numId w:val="2"/>
              </w:numPr>
              <w:spacing w:before="60" w:after="60"/>
            </w:pPr>
            <w:r>
              <w:rPr>
                <w:rFonts w:ascii="Calibri" w:cs="Calibri" w:eastAsia="Calibri" w:hAnsi="Calibri"/>
                <w:sz w:val="22"/>
                <w:szCs w:val="22"/>
              </w:rPr>
              <w:t xml:space="preserve">Change Process Integration: M365 DSC configuration changes are successfully integrated into the existing change management process, with evidence that at least one change cycle has been completed end-to-end.</w:t>
            </w:r>
          </w:p>
          <w:p>
            <w:pPr>
              <w:pStyle w:val="ListParagraph"/>
              <w:numPr>
                <w:ilvl w:val="0"/>
                <w:numId w:val="2"/>
              </w:numPr>
              <w:spacing w:before="60" w:after="60"/>
            </w:pPr>
            <w:r>
              <w:rPr>
                <w:rFonts w:ascii="Calibri" w:cs="Calibri" w:eastAsia="Calibri" w:hAnsi="Calibri"/>
                <w:sz w:val="22"/>
                <w:szCs w:val="22"/>
              </w:rPr>
              <w:t xml:space="preserve">Disaster Recovery Validated: A simulated disaster recovery exercise has been completed, demonstrating the ability to restore DSC operational capability within the agreed Recovery Time Objective (RTO).</w:t>
            </w:r>
          </w:p>
        </w:tc>
      </w:tr>
    </w:tbl>
    <w:p>
      <w:pPr>
        <w:spacing w:before="200" w:after="100"/>
      </w:pPr>
    </w:p>
    <w:p>
      <w:pPr>
        <w:pStyle w:val="Heading1"/>
        <w:pBdr>
          <w:bottom w:val="single" w:color="2F5597" w:sz="8" w:space="4"/>
        </w:pBdr>
        <w:spacing w:before="400" w:after="200"/>
      </w:pPr>
      <w:r>
        <w:rPr>
          <w:rFonts w:ascii="Calibri" w:cs="Calibri" w:eastAsia="Calibri" w:hAnsi="Calibri"/>
          <w:b/>
          <w:bCs/>
          <w:color w:val="2F5597"/>
          <w:sz w:val="32"/>
          <w:szCs w:val="32"/>
        </w:rPr>
        <w:t xml:space="preserve">3. High-Level Design (HLD) Summary</w:t>
      </w:r>
    </w:p>
    <w:p>
      <w:pPr>
        <w:spacing w:before="100" w:after="100"/>
      </w:pPr>
      <w:r>
        <w:rPr>
          <w:rFonts w:ascii="Calibri" w:cs="Calibri" w:eastAsia="Calibri" w:hAnsi="Calibri"/>
          <w:sz w:val="22"/>
          <w:szCs w:val="22"/>
        </w:rPr>
        <w:t xml:space="preserve">The following section captures the key architectural components and design decisions for the M365 DSC implementation. Detailed HLD documentation should be attached as a separate artefact and registered in the Document Repository against this submission.</w:t>
      </w:r>
    </w:p>
    <w:p>
      <w:pPr>
        <w:spacing w:before="120" w:after="80"/>
      </w:pPr>
    </w:p>
    <w:p>
      <w:pPr>
        <w:pStyle w:val="Heading2"/>
        <w:spacing w:before="300" w:after="160"/>
      </w:pPr>
      <w:r>
        <w:rPr>
          <w:rFonts w:ascii="Calibri" w:cs="Calibri" w:eastAsia="Calibri" w:hAnsi="Calibri"/>
          <w:b/>
          <w:bCs/>
          <w:color w:val="4472C4"/>
          <w:sz w:val="26"/>
          <w:szCs w:val="26"/>
        </w:rPr>
        <w:t xml:space="preserve">3.1 Solution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0E9" w:sz="4"/>
              <w:left w:val="single" w:color="BDD0E9" w:sz="4"/>
              <w:bottom w:val="single" w:color="BDD0E9" w:sz="4"/>
              <w:right w:val="single" w:color="BDD0E9" w:sz="4"/>
            </w:tcBorders>
            <w:shd w:fill="D6E4F7" w:val="clear"/>
            <w:tcMar>
              <w:top w:type="dxa" w:w="80"/>
              <w:left w:type="dxa" w:w="120"/>
              <w:bottom w:type="dxa" w:w="80"/>
              <w:right w:type="dxa" w:w="120"/>
            </w:tcMar>
          </w:tcPr>
          <w:p>
            <w:r>
              <w:rPr>
                <w:rFonts w:ascii="Calibri" w:cs="Calibri" w:eastAsia="Calibri" w:hAnsi="Calibri"/>
                <w:b/>
                <w:bCs/>
                <w:sz w:val="22"/>
                <w:szCs w:val="22"/>
              </w:rPr>
              <w:t xml:space="preserve">Solution Name</w:t>
            </w:r>
          </w:p>
        </w:tc>
        <w:tc>
          <w:tcPr>
            <w:tcW w:type="dxa" w:w="636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2"/>
                <w:szCs w:val="22"/>
              </w:rPr>
              <w:t xml:space="preserve">Microsoft 365 Desired State Configuration — Production Implementation</w:t>
            </w:r>
          </w:p>
        </w:tc>
      </w:tr>
      <w:tr>
        <w:tc>
          <w:tcPr>
            <w:tcW w:type="dxa" w:w="3000"/>
            <w:tcBorders>
              <w:top w:val="single" w:color="BDD0E9" w:sz="4"/>
              <w:left w:val="single" w:color="BDD0E9" w:sz="4"/>
              <w:bottom w:val="single" w:color="BDD0E9" w:sz="4"/>
              <w:right w:val="single" w:color="BDD0E9" w:sz="4"/>
            </w:tcBorders>
            <w:shd w:fill="EEF4FB" w:val="clear"/>
            <w:tcMar>
              <w:top w:type="dxa" w:w="80"/>
              <w:left w:type="dxa" w:w="120"/>
              <w:bottom w:type="dxa" w:w="80"/>
              <w:right w:type="dxa" w:w="120"/>
            </w:tcMar>
          </w:tcPr>
          <w:p>
            <w:r>
              <w:rPr>
                <w:rFonts w:ascii="Calibri" w:cs="Calibri" w:eastAsia="Calibri" w:hAnsi="Calibri"/>
                <w:b/>
                <w:bCs/>
                <w:sz w:val="22"/>
                <w:szCs w:val="22"/>
              </w:rPr>
              <w:t xml:space="preserve">Primary Platform</w:t>
            </w:r>
          </w:p>
        </w:tc>
        <w:tc>
          <w:tcPr>
            <w:tcW w:type="dxa" w:w="636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2"/>
                <w:szCs w:val="22"/>
              </w:rPr>
              <w:t xml:space="preserve">Microsoft 365 / Azure (hybrid environment with EQU.LOCAL Active Directory)</w:t>
            </w:r>
          </w:p>
        </w:tc>
      </w:tr>
      <w:tr>
        <w:tc>
          <w:tcPr>
            <w:tcW w:type="dxa" w:w="3000"/>
            <w:tcBorders>
              <w:top w:val="single" w:color="BDD0E9" w:sz="4"/>
              <w:left w:val="single" w:color="BDD0E9" w:sz="4"/>
              <w:bottom w:val="single" w:color="BDD0E9" w:sz="4"/>
              <w:right w:val="single" w:color="BDD0E9" w:sz="4"/>
            </w:tcBorders>
            <w:shd w:fill="D6E4F7" w:val="clear"/>
            <w:tcMar>
              <w:top w:type="dxa" w:w="80"/>
              <w:left w:type="dxa" w:w="120"/>
              <w:bottom w:type="dxa" w:w="80"/>
              <w:right w:type="dxa" w:w="120"/>
            </w:tcMar>
          </w:tcPr>
          <w:p>
            <w:r>
              <w:rPr>
                <w:rFonts w:ascii="Calibri" w:cs="Calibri" w:eastAsia="Calibri" w:hAnsi="Calibri"/>
                <w:b/>
                <w:bCs/>
                <w:sz w:val="22"/>
                <w:szCs w:val="22"/>
              </w:rPr>
              <w:t xml:space="preserve">Authentication Model</w:t>
            </w:r>
          </w:p>
        </w:tc>
        <w:tc>
          <w:tcPr>
            <w:tcW w:type="dxa" w:w="636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2"/>
                <w:szCs w:val="22"/>
              </w:rPr>
              <w:t xml:space="preserve">Service Principal with certificate-based authentication (Azure Key Vault managed)</w:t>
            </w:r>
          </w:p>
        </w:tc>
      </w:tr>
      <w:tr>
        <w:tc>
          <w:tcPr>
            <w:tcW w:type="dxa" w:w="3000"/>
            <w:tcBorders>
              <w:top w:val="single" w:color="BDD0E9" w:sz="4"/>
              <w:left w:val="single" w:color="BDD0E9" w:sz="4"/>
              <w:bottom w:val="single" w:color="BDD0E9" w:sz="4"/>
              <w:right w:val="single" w:color="BDD0E9" w:sz="4"/>
            </w:tcBorders>
            <w:shd w:fill="EEF4FB" w:val="clear"/>
            <w:tcMar>
              <w:top w:type="dxa" w:w="80"/>
              <w:left w:type="dxa" w:w="120"/>
              <w:bottom w:type="dxa" w:w="80"/>
              <w:right w:type="dxa" w:w="120"/>
            </w:tcMar>
          </w:tcPr>
          <w:p>
            <w:r>
              <w:rPr>
                <w:rFonts w:ascii="Calibri" w:cs="Calibri" w:eastAsia="Calibri" w:hAnsi="Calibri"/>
                <w:b/>
                <w:bCs/>
                <w:sz w:val="22"/>
                <w:szCs w:val="22"/>
              </w:rPr>
              <w:t xml:space="preserve">Execution Environment</w:t>
            </w:r>
          </w:p>
        </w:tc>
        <w:tc>
          <w:tcPr>
            <w:tcW w:type="dxa" w:w="636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2"/>
                <w:szCs w:val="22"/>
              </w:rPr>
              <w:t xml:space="preserve">TBD — Candidate: Azure Automation Runbooks / Azure Container Instances</w:t>
            </w:r>
          </w:p>
        </w:tc>
      </w:tr>
      <w:tr>
        <w:tc>
          <w:tcPr>
            <w:tcW w:type="dxa" w:w="3000"/>
            <w:tcBorders>
              <w:top w:val="single" w:color="BDD0E9" w:sz="4"/>
              <w:left w:val="single" w:color="BDD0E9" w:sz="4"/>
              <w:bottom w:val="single" w:color="BDD0E9" w:sz="4"/>
              <w:right w:val="single" w:color="BDD0E9" w:sz="4"/>
            </w:tcBorders>
            <w:shd w:fill="D6E4F7" w:val="clear"/>
            <w:tcMar>
              <w:top w:type="dxa" w:w="80"/>
              <w:left w:type="dxa" w:w="120"/>
              <w:bottom w:type="dxa" w:w="80"/>
              <w:right w:type="dxa" w:w="120"/>
            </w:tcMar>
          </w:tcPr>
          <w:p>
            <w:r>
              <w:rPr>
                <w:rFonts w:ascii="Calibri" w:cs="Calibri" w:eastAsia="Calibri" w:hAnsi="Calibri"/>
                <w:b/>
                <w:bCs/>
                <w:sz w:val="22"/>
                <w:szCs w:val="22"/>
              </w:rPr>
              <w:t xml:space="preserve">Configuration Storage</w:t>
            </w:r>
          </w:p>
        </w:tc>
        <w:tc>
          <w:tcPr>
            <w:tcW w:type="dxa" w:w="636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2"/>
                <w:szCs w:val="22"/>
              </w:rPr>
              <w:t xml:space="preserve">Azure Blob Storage (private endpoint, GRS, immutable retention)</w:t>
            </w:r>
          </w:p>
        </w:tc>
      </w:tr>
      <w:tr>
        <w:tc>
          <w:tcPr>
            <w:tcW w:type="dxa" w:w="3000"/>
            <w:tcBorders>
              <w:top w:val="single" w:color="BDD0E9" w:sz="4"/>
              <w:left w:val="single" w:color="BDD0E9" w:sz="4"/>
              <w:bottom w:val="single" w:color="BDD0E9" w:sz="4"/>
              <w:right w:val="single" w:color="BDD0E9" w:sz="4"/>
            </w:tcBorders>
            <w:shd w:fill="EEF4FB" w:val="clear"/>
            <w:tcMar>
              <w:top w:type="dxa" w:w="80"/>
              <w:left w:type="dxa" w:w="120"/>
              <w:bottom w:type="dxa" w:w="80"/>
              <w:right w:type="dxa" w:w="120"/>
            </w:tcMar>
          </w:tcPr>
          <w:p>
            <w:r>
              <w:rPr>
                <w:rFonts w:ascii="Calibri" w:cs="Calibri" w:eastAsia="Calibri" w:hAnsi="Calibri"/>
                <w:b/>
                <w:bCs/>
                <w:sz w:val="22"/>
                <w:szCs w:val="22"/>
              </w:rPr>
              <w:t xml:space="preserve">Monitoring Integration</w:t>
            </w:r>
          </w:p>
        </w:tc>
        <w:tc>
          <w:tcPr>
            <w:tcW w:type="dxa" w:w="636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2"/>
                <w:szCs w:val="22"/>
              </w:rPr>
              <w:t xml:space="preserve">Existing SIEM/SOAR platform; SOC and Tenant Admin alerting</w:t>
            </w:r>
          </w:p>
        </w:tc>
      </w:tr>
      <w:tr>
        <w:tc>
          <w:tcPr>
            <w:tcW w:type="dxa" w:w="3000"/>
            <w:tcBorders>
              <w:top w:val="single" w:color="BDD0E9" w:sz="4"/>
              <w:left w:val="single" w:color="BDD0E9" w:sz="4"/>
              <w:bottom w:val="single" w:color="BDD0E9" w:sz="4"/>
              <w:right w:val="single" w:color="BDD0E9" w:sz="4"/>
            </w:tcBorders>
            <w:shd w:fill="D6E4F7" w:val="clear"/>
            <w:tcMar>
              <w:top w:type="dxa" w:w="80"/>
              <w:left w:type="dxa" w:w="120"/>
              <w:bottom w:type="dxa" w:w="80"/>
              <w:right w:type="dxa" w:w="120"/>
            </w:tcMar>
          </w:tcPr>
          <w:p>
            <w:r>
              <w:rPr>
                <w:rFonts w:ascii="Calibri" w:cs="Calibri" w:eastAsia="Calibri" w:hAnsi="Calibri"/>
                <w:b/>
                <w:bCs/>
                <w:sz w:val="22"/>
                <w:szCs w:val="22"/>
              </w:rPr>
              <w:t xml:space="preserve">Initial Operating Mode</w:t>
            </w:r>
          </w:p>
        </w:tc>
        <w:tc>
          <w:tcPr>
            <w:tcW w:type="dxa" w:w="636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2"/>
                <w:szCs w:val="22"/>
              </w:rPr>
              <w:t xml:space="preserve">Detection-only (drift alerts, no auto-remediation in Phase 1)</w:t>
            </w:r>
          </w:p>
        </w:tc>
      </w:tr>
      <w:tr>
        <w:tc>
          <w:tcPr>
            <w:tcW w:type="dxa" w:w="3000"/>
            <w:tcBorders>
              <w:top w:val="single" w:color="BDD0E9" w:sz="4"/>
              <w:left w:val="single" w:color="BDD0E9" w:sz="4"/>
              <w:bottom w:val="single" w:color="BDD0E9" w:sz="4"/>
              <w:right w:val="single" w:color="BDD0E9" w:sz="4"/>
            </w:tcBorders>
            <w:shd w:fill="EEF4FB" w:val="clear"/>
            <w:tcMar>
              <w:top w:type="dxa" w:w="80"/>
              <w:left w:type="dxa" w:w="120"/>
              <w:bottom w:type="dxa" w:w="80"/>
              <w:right w:type="dxa" w:w="120"/>
            </w:tcMar>
          </w:tcPr>
          <w:p>
            <w:r>
              <w:rPr>
                <w:rFonts w:ascii="Calibri" w:cs="Calibri" w:eastAsia="Calibri" w:hAnsi="Calibri"/>
                <w:b/>
                <w:bCs/>
                <w:sz w:val="22"/>
                <w:szCs w:val="22"/>
              </w:rPr>
              <w:t xml:space="preserve">Change Control</w:t>
            </w:r>
          </w:p>
        </w:tc>
        <w:tc>
          <w:tcPr>
            <w:tcW w:type="dxa" w:w="636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2"/>
                <w:szCs w:val="22"/>
              </w:rPr>
              <w:t xml:space="preserve">All configuration baseline changes require approved change record</w:t>
            </w:r>
          </w:p>
        </w:tc>
      </w:tr>
    </w:tbl>
    <w:p>
      <w:pPr>
        <w:spacing w:before="120" w:after="80"/>
      </w:pPr>
    </w:p>
    <w:p>
      <w:pPr>
        <w:pStyle w:val="Heading2"/>
        <w:spacing w:before="300" w:after="160"/>
      </w:pPr>
      <w:r>
        <w:rPr>
          <w:rFonts w:ascii="Calibri" w:cs="Calibri" w:eastAsia="Calibri" w:hAnsi="Calibri"/>
          <w:b/>
          <w:bCs/>
          <w:color w:val="4472C4"/>
          <w:sz w:val="26"/>
          <w:szCs w:val="26"/>
        </w:rPr>
        <w:t xml:space="preserve">3.2 Key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DD0E9" w:sz="4"/>
              <w:left w:val="single" w:color="BDD0E9" w:sz="4"/>
              <w:bottom w:val="single" w:color="BDD0E9" w:sz="4"/>
              <w:right w:val="single" w:color="BDD0E9" w:sz="4"/>
            </w:tcBorders>
            <w:shd w:fill="2F5597" w:val="clear"/>
            <w:tcMar>
              <w:top w:type="dxa" w:w="80"/>
              <w:left w:type="dxa" w:w="120"/>
              <w:bottom w:type="dxa" w:w="80"/>
              <w:right w:type="dxa" w:w="120"/>
            </w:tcMar>
          </w:tcPr>
          <w:p>
            <w:r>
              <w:rPr>
                <w:rFonts w:ascii="Calibri" w:cs="Calibri" w:eastAsia="Calibri" w:hAnsi="Calibri"/>
                <w:b/>
                <w:bCs/>
                <w:color w:val="FFFFFF"/>
                <w:sz w:val="20"/>
                <w:szCs w:val="20"/>
              </w:rPr>
              <w:t xml:space="preserve">Decision Area</w:t>
            </w:r>
          </w:p>
        </w:tc>
        <w:tc>
          <w:tcPr>
            <w:tcW w:type="dxa" w:w="3080"/>
            <w:tcBorders>
              <w:top w:val="single" w:color="BDD0E9" w:sz="4"/>
              <w:left w:val="single" w:color="BDD0E9" w:sz="4"/>
              <w:bottom w:val="single" w:color="BDD0E9" w:sz="4"/>
              <w:right w:val="single" w:color="BDD0E9" w:sz="4"/>
            </w:tcBorders>
            <w:shd w:fill="2F5597" w:val="clear"/>
            <w:tcMar>
              <w:top w:type="dxa" w:w="80"/>
              <w:left w:type="dxa" w:w="120"/>
              <w:bottom w:type="dxa" w:w="80"/>
              <w:right w:type="dxa" w:w="120"/>
            </w:tcMar>
          </w:tcPr>
          <w:p>
            <w:r>
              <w:rPr>
                <w:rFonts w:ascii="Calibri" w:cs="Calibri" w:eastAsia="Calibri" w:hAnsi="Calibri"/>
                <w:b/>
                <w:bCs/>
                <w:color w:val="FFFFFF"/>
                <w:sz w:val="20"/>
                <w:szCs w:val="20"/>
              </w:rPr>
              <w:t xml:space="preserve">Selected Approach</w:t>
            </w:r>
          </w:p>
        </w:tc>
        <w:tc>
          <w:tcPr>
            <w:tcW w:type="dxa" w:w="3080"/>
            <w:tcBorders>
              <w:top w:val="single" w:color="BDD0E9" w:sz="4"/>
              <w:left w:val="single" w:color="BDD0E9" w:sz="4"/>
              <w:bottom w:val="single" w:color="BDD0E9" w:sz="4"/>
              <w:right w:val="single" w:color="BDD0E9" w:sz="4"/>
            </w:tcBorders>
            <w:shd w:fill="2F5597" w:val="clear"/>
            <w:tcMar>
              <w:top w:type="dxa" w:w="80"/>
              <w:left w:type="dxa" w:w="120"/>
              <w:bottom w:type="dxa" w:w="80"/>
              <w:right w:type="dxa" w:w="120"/>
            </w:tcMar>
          </w:tcPr>
          <w:p>
            <w:r>
              <w:rPr>
                <w:rFonts w:ascii="Calibri" w:cs="Calibri" w:eastAsia="Calibri" w:hAnsi="Calibri"/>
                <w:b/>
                <w:bCs/>
                <w:color w:val="FFFFFF"/>
                <w:sz w:val="20"/>
                <w:szCs w:val="20"/>
              </w:rPr>
              <w:t xml:space="preserve">Rationale</w:t>
            </w:r>
          </w:p>
        </w:tc>
      </w:tr>
      <w:tr>
        <w:tc>
          <w:tcPr>
            <w:tcW w:type="dxa" w:w="3200"/>
            <w:tcBorders>
              <w:top w:val="single" w:color="BDD0E9" w:sz="4"/>
              <w:left w:val="single" w:color="BDD0E9" w:sz="4"/>
              <w:bottom w:val="single" w:color="BDD0E9" w:sz="4"/>
              <w:right w:val="single" w:color="BDD0E9" w:sz="4"/>
            </w:tcBorders>
            <w:shd w:fill="D6E4F7" w:val="clear"/>
            <w:tcMar>
              <w:top w:type="dxa" w:w="80"/>
              <w:left w:type="dxa" w:w="120"/>
              <w:bottom w:type="dxa" w:w="80"/>
              <w:right w:type="dxa" w:w="120"/>
            </w:tcMar>
          </w:tcPr>
          <w:p>
            <w:r>
              <w:rPr>
                <w:rFonts w:ascii="Calibri" w:cs="Calibri" w:eastAsia="Calibri" w:hAnsi="Calibri"/>
                <w:b/>
                <w:bCs/>
                <w:sz w:val="20"/>
                <w:szCs w:val="20"/>
              </w:rPr>
              <w:t xml:space="preserve">Authentication Identity</w:t>
            </w:r>
          </w:p>
        </w:tc>
        <w:tc>
          <w:tcPr>
            <w:tcW w:type="dxa" w:w="308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Service Principals (App Registrations)</w:t>
            </w:r>
          </w:p>
        </w:tc>
        <w:tc>
          <w:tcPr>
            <w:tcW w:type="dxa" w:w="308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Avoids dependency on named user accounts; supports non-interactive execution; aligns with least privilege principles</w:t>
            </w:r>
          </w:p>
        </w:tc>
      </w:tr>
      <w:tr>
        <w:tc>
          <w:tcPr>
            <w:tcW w:type="dxa" w:w="320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b/>
                <w:bCs/>
                <w:sz w:val="20"/>
                <w:szCs w:val="20"/>
              </w:rPr>
              <w:t xml:space="preserve">Auth Method</w:t>
            </w:r>
          </w:p>
        </w:tc>
        <w:tc>
          <w:tcPr>
            <w:tcW w:type="dxa" w:w="308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Certificate-based (no secrets/passwords)</w:t>
            </w:r>
          </w:p>
        </w:tc>
        <w:tc>
          <w:tcPr>
            <w:tcW w:type="dxa" w:w="308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Most broadly supported across M365 workloads; certificates managed in Key Vault with full lifecycle controls</w:t>
            </w:r>
          </w:p>
        </w:tc>
      </w:tr>
      <w:tr>
        <w:tc>
          <w:tcPr>
            <w:tcW w:type="dxa" w:w="3200"/>
            <w:tcBorders>
              <w:top w:val="single" w:color="BDD0E9" w:sz="4"/>
              <w:left w:val="single" w:color="BDD0E9" w:sz="4"/>
              <w:bottom w:val="single" w:color="BDD0E9" w:sz="4"/>
              <w:right w:val="single" w:color="BDD0E9" w:sz="4"/>
            </w:tcBorders>
            <w:shd w:fill="D6E4F7" w:val="clear"/>
            <w:tcMar>
              <w:top w:type="dxa" w:w="80"/>
              <w:left w:type="dxa" w:w="120"/>
              <w:bottom w:type="dxa" w:w="80"/>
              <w:right w:type="dxa" w:w="120"/>
            </w:tcMar>
          </w:tcPr>
          <w:p>
            <w:r>
              <w:rPr>
                <w:rFonts w:ascii="Calibri" w:cs="Calibri" w:eastAsia="Calibri" w:hAnsi="Calibri"/>
                <w:b/>
                <w:bCs/>
                <w:sz w:val="20"/>
                <w:szCs w:val="20"/>
              </w:rPr>
              <w:t xml:space="preserve">SPN Structure</w:t>
            </w:r>
          </w:p>
        </w:tc>
        <w:tc>
          <w:tcPr>
            <w:tcW w:type="dxa" w:w="308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Separate SPN per service category</w:t>
            </w:r>
          </w:p>
        </w:tc>
        <w:tc>
          <w:tcPr>
            <w:tcW w:type="dxa" w:w="308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Limits blast radius of compromised credential; enables granular permission scoping per workload</w:t>
            </w:r>
          </w:p>
        </w:tc>
      </w:tr>
      <w:tr>
        <w:tc>
          <w:tcPr>
            <w:tcW w:type="dxa" w:w="320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b/>
                <w:bCs/>
                <w:sz w:val="20"/>
                <w:szCs w:val="20"/>
              </w:rPr>
              <w:t xml:space="preserve">Operating Mode — Phase 1</w:t>
            </w:r>
          </w:p>
        </w:tc>
        <w:tc>
          <w:tcPr>
            <w:tcW w:type="dxa" w:w="308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Detection-only (no auto-remediation)</w:t>
            </w:r>
          </w:p>
        </w:tc>
        <w:tc>
          <w:tcPr>
            <w:tcW w:type="dxa" w:w="308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Reduces risk of unintended configuration changes during initial rollout; builds operational confidence</w:t>
            </w:r>
          </w:p>
        </w:tc>
      </w:tr>
      <w:tr>
        <w:tc>
          <w:tcPr>
            <w:tcW w:type="dxa" w:w="3200"/>
            <w:tcBorders>
              <w:top w:val="single" w:color="BDD0E9" w:sz="4"/>
              <w:left w:val="single" w:color="BDD0E9" w:sz="4"/>
              <w:bottom w:val="single" w:color="BDD0E9" w:sz="4"/>
              <w:right w:val="single" w:color="BDD0E9" w:sz="4"/>
            </w:tcBorders>
            <w:shd w:fill="D6E4F7" w:val="clear"/>
            <w:tcMar>
              <w:top w:type="dxa" w:w="80"/>
              <w:left w:type="dxa" w:w="120"/>
              <w:bottom w:type="dxa" w:w="80"/>
              <w:right w:type="dxa" w:w="120"/>
            </w:tcMar>
          </w:tcPr>
          <w:p>
            <w:r>
              <w:rPr>
                <w:rFonts w:ascii="Calibri" w:cs="Calibri" w:eastAsia="Calibri" w:hAnsi="Calibri"/>
                <w:b/>
                <w:bCs/>
                <w:sz w:val="20"/>
                <w:szCs w:val="20"/>
              </w:rPr>
              <w:t xml:space="preserve">Config Storage</w:t>
            </w:r>
          </w:p>
        </w:tc>
        <w:tc>
          <w:tcPr>
            <w:tcW w:type="dxa" w:w="308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Azure Blob Storage with private endpoint</w:t>
            </w:r>
          </w:p>
        </w:tc>
        <w:tc>
          <w:tcPr>
            <w:tcW w:type="dxa" w:w="308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Prevents public internet exposure; immutable storage supports compliance evidence requirements</w:t>
            </w:r>
          </w:p>
        </w:tc>
      </w:tr>
      <w:tr>
        <w:tc>
          <w:tcPr>
            <w:tcW w:type="dxa" w:w="320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b/>
                <w:bCs/>
                <w:sz w:val="20"/>
                <w:szCs w:val="20"/>
              </w:rPr>
              <w:t xml:space="preserve">Certificate Authority</w:t>
            </w:r>
          </w:p>
        </w:tc>
        <w:tc>
          <w:tcPr>
            <w:tcW w:type="dxa" w:w="308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Azure Key Vault managed / Internal CA</w:t>
            </w:r>
          </w:p>
        </w:tc>
        <w:tc>
          <w:tcPr>
            <w:tcW w:type="dxa" w:w="308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Subject to CISO approval; centralises lifecycle management and enables automated rotation</w:t>
            </w:r>
          </w:p>
        </w:tc>
      </w:tr>
      <w:tr>
        <w:tc>
          <w:tcPr>
            <w:tcW w:type="dxa" w:w="3200"/>
            <w:tcBorders>
              <w:top w:val="single" w:color="BDD0E9" w:sz="4"/>
              <w:left w:val="single" w:color="BDD0E9" w:sz="4"/>
              <w:bottom w:val="single" w:color="BDD0E9" w:sz="4"/>
              <w:right w:val="single" w:color="BDD0E9" w:sz="4"/>
            </w:tcBorders>
            <w:shd w:fill="D6E4F7" w:val="clear"/>
            <w:tcMar>
              <w:top w:type="dxa" w:w="80"/>
              <w:left w:type="dxa" w:w="120"/>
              <w:bottom w:type="dxa" w:w="80"/>
              <w:right w:type="dxa" w:w="120"/>
            </w:tcMar>
          </w:tcPr>
          <w:p>
            <w:r>
              <w:rPr>
                <w:rFonts w:ascii="Calibri" w:cs="Calibri" w:eastAsia="Calibri" w:hAnsi="Calibri"/>
                <w:b/>
                <w:bCs/>
                <w:sz w:val="20"/>
                <w:szCs w:val="20"/>
              </w:rPr>
              <w:t xml:space="preserve">Configuration Structure</w:t>
            </w:r>
          </w:p>
        </w:tc>
        <w:tc>
          <w:tcPr>
            <w:tcW w:type="dxa" w:w="308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Modular (per workload)</w:t>
            </w:r>
          </w:p>
        </w:tc>
        <w:tc>
          <w:tcPr>
            <w:tcW w:type="dxa" w:w="308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Reduces blast radius of a misconfiguration; enables phased rollout and workload-specific change control</w:t>
            </w:r>
          </w:p>
        </w:tc>
      </w:tr>
    </w:tbl>
    <w:p>
      <w:pPr>
        <w:spacing w:before="120" w:after="80"/>
      </w:pPr>
    </w:p>
    <w:p>
      <w:pPr>
        <w:pStyle w:val="Heading2"/>
        <w:spacing w:before="300" w:after="160"/>
      </w:pPr>
      <w:r>
        <w:rPr>
          <w:rFonts w:ascii="Calibri" w:cs="Calibri" w:eastAsia="Calibri" w:hAnsi="Calibri"/>
          <w:b/>
          <w:bCs/>
          <w:color w:val="4472C4"/>
          <w:sz w:val="26"/>
          <w:szCs w:val="26"/>
        </w:rPr>
        <w:t xml:space="preserve">3.3 HLD Attachment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0E9" w:sz="4"/>
              <w:left w:val="single" w:color="BDD0E9" w:sz="4"/>
              <w:bottom w:val="single" w:color="BDD0E9" w:sz="4"/>
              <w:right w:val="single" w:color="BDD0E9" w:sz="4"/>
            </w:tcBorders>
            <w:shd w:fill="2F5597" w:val="clear"/>
            <w:tcMar>
              <w:top w:type="dxa" w:w="100"/>
              <w:left w:type="dxa" w:w="180"/>
              <w:bottom w:type="dxa" w:w="100"/>
              <w:right w:type="dxa" w:w="180"/>
            </w:tcMar>
          </w:tcPr>
          <w:p>
            <w:r>
              <w:rPr>
                <w:rFonts w:ascii="Calibri" w:cs="Calibri" w:eastAsia="Calibri" w:hAnsi="Calibri"/>
                <w:b/>
                <w:bCs/>
                <w:color w:val="FFFFFF"/>
                <w:sz w:val="22"/>
                <w:szCs w:val="22"/>
              </w:rPr>
              <w:t xml:space="preserve">Document Repository Requirements</w:t>
            </w:r>
          </w:p>
        </w:tc>
      </w:tr>
      <w:tr>
        <w:tc>
          <w:tcPr>
            <w:tcW w:type="dxa" w:w="9360"/>
            <w:tcBorders>
              <w:top w:val="single" w:color="BDD0E9" w:sz="4"/>
              <w:left w:val="single" w:color="BDD0E9" w:sz="4"/>
              <w:bottom w:val="single" w:color="BDD0E9" w:sz="4"/>
              <w:right w:val="single" w:color="BDD0E9" w:sz="4"/>
            </w:tcBorders>
            <w:shd w:fill="F2F6FC" w:val="clear"/>
            <w:tcMar>
              <w:top w:type="dxa" w:w="120"/>
              <w:left w:type="dxa" w:w="180"/>
              <w:bottom w:type="dxa" w:w="120"/>
              <w:right w:type="dxa" w:w="180"/>
            </w:tcMar>
          </w:tcPr>
          <w:p>
            <w:pPr>
              <w:spacing w:before="100" w:after="100"/>
            </w:pPr>
            <w:r>
              <w:rPr>
                <w:rFonts w:ascii="Calibri" w:cs="Calibri" w:eastAsia="Calibri" w:hAnsi="Calibri"/>
                <w:sz w:val="22"/>
                <w:szCs w:val="22"/>
              </w:rPr>
              <w:t xml:space="preserve">The following HLD artefacts must be completed, reviewed, and registered in the Document Repository as part of this trade review submission. Items marked as outstanding must be completed prior to implementation approval.</w:t>
            </w:r>
          </w:p>
          <w:p>
            <w:pPr>
              <w:spacing w:before="80" w:after="60"/>
            </w:pPr>
          </w:p>
          <w:p>
            <w:pPr>
              <w:pStyle w:val="ListParagraph"/>
              <w:numPr>
                <w:ilvl w:val="0"/>
                <w:numId w:val="2"/>
              </w:numPr>
              <w:spacing w:before="60" w:after="60"/>
            </w:pPr>
            <w:r>
              <w:rPr>
                <w:rFonts w:ascii="Calibri" w:cs="Calibri" w:eastAsia="Calibri" w:hAnsi="Calibri"/>
                <w:sz w:val="22"/>
                <w:szCs w:val="22"/>
              </w:rPr>
              <w:t xml:space="preserve">M365 DSC Solution Architecture Diagram — showing all components, authentication flows, data flows, and Azure resource relationships</w:t>
            </w:r>
          </w:p>
          <w:p>
            <w:pPr>
              <w:pStyle w:val="ListParagraph"/>
              <w:numPr>
                <w:ilvl w:val="0"/>
                <w:numId w:val="2"/>
              </w:numPr>
              <w:spacing w:before="60" w:after="60"/>
            </w:pPr>
            <w:r>
              <w:rPr>
                <w:rFonts w:ascii="Calibri" w:cs="Calibri" w:eastAsia="Calibri" w:hAnsi="Calibri"/>
                <w:sz w:val="22"/>
                <w:szCs w:val="22"/>
              </w:rPr>
              <w:t xml:space="preserve">Service Principal Permission Matrix — listing all App Registrations, their API permissions, and the M365 workloads they manage</w:t>
            </w:r>
          </w:p>
          <w:p>
            <w:pPr>
              <w:pStyle w:val="ListParagraph"/>
              <w:numPr>
                <w:ilvl w:val="0"/>
                <w:numId w:val="2"/>
              </w:numPr>
              <w:spacing w:before="60" w:after="60"/>
            </w:pPr>
            <w:r>
              <w:rPr>
                <w:rFonts w:ascii="Calibri" w:cs="Calibri" w:eastAsia="Calibri" w:hAnsi="Calibri"/>
                <w:sz w:val="22"/>
                <w:szCs w:val="22"/>
              </w:rPr>
              <w:t xml:space="preserve">Network Architecture Diagram — showing connectivity between the execution environment, Azure resources, and Microsoft 365 service endpoints (including firewall rules and private endpoints)</w:t>
            </w:r>
          </w:p>
          <w:p>
            <w:pPr>
              <w:pStyle w:val="ListParagraph"/>
              <w:numPr>
                <w:ilvl w:val="0"/>
                <w:numId w:val="2"/>
              </w:numPr>
              <w:spacing w:before="60" w:after="60"/>
            </w:pPr>
            <w:r>
              <w:rPr>
                <w:rFonts w:ascii="Calibri" w:cs="Calibri" w:eastAsia="Calibri" w:hAnsi="Calibri"/>
                <w:sz w:val="22"/>
                <w:szCs w:val="22"/>
              </w:rPr>
              <w:t xml:space="preserve">Azure Resource Architecture Diagram — showing resource groups, storage accounts, Key Vault, and execution infrastructure with naming conventions</w:t>
            </w:r>
          </w:p>
          <w:p>
            <w:pPr>
              <w:pStyle w:val="ListParagraph"/>
              <w:numPr>
                <w:ilvl w:val="0"/>
                <w:numId w:val="2"/>
              </w:numPr>
              <w:spacing w:before="60" w:after="60"/>
            </w:pPr>
            <w:r>
              <w:rPr>
                <w:rFonts w:ascii="Calibri" w:cs="Calibri" w:eastAsia="Calibri" w:hAnsi="Calibri"/>
                <w:sz w:val="22"/>
                <w:szCs w:val="22"/>
              </w:rPr>
              <w:t xml:space="preserve">Certificate Lifecycle Management Process — documenting issuance, storage, rotation, expiry alerting, and revocation procedures</w:t>
            </w:r>
          </w:p>
          <w:p>
            <w:pPr>
              <w:pStyle w:val="ListParagraph"/>
              <w:numPr>
                <w:ilvl w:val="0"/>
                <w:numId w:val="2"/>
              </w:numPr>
              <w:spacing w:before="60" w:after="60"/>
            </w:pPr>
            <w:r>
              <w:rPr>
                <w:rFonts w:ascii="Calibri" w:cs="Calibri" w:eastAsia="Calibri" w:hAnsi="Calibri"/>
                <w:sz w:val="22"/>
                <w:szCs w:val="22"/>
              </w:rPr>
              <w:t xml:space="preserve">Monitoring &amp; Alerting Design — detailing drift alert flows, escalation matrix, SIEM integration, and dashboard design</w:t>
            </w:r>
          </w:p>
          <w:p>
            <w:pPr>
              <w:pStyle w:val="ListParagraph"/>
              <w:numPr>
                <w:ilvl w:val="0"/>
                <w:numId w:val="2"/>
              </w:numPr>
              <w:spacing w:before="60" w:after="60"/>
            </w:pPr>
            <w:r>
              <w:rPr>
                <w:rFonts w:ascii="Calibri" w:cs="Calibri" w:eastAsia="Calibri" w:hAnsi="Calibri"/>
                <w:sz w:val="22"/>
                <w:szCs w:val="22"/>
              </w:rPr>
              <w:t xml:space="preserve">Data Flow Diagram — showing configuration export data flow from M365 workloads through execution environment to storage</w:t>
            </w:r>
          </w:p>
          <w:p>
            <w:pPr>
              <w:pStyle w:val="ListParagraph"/>
              <w:numPr>
                <w:ilvl w:val="0"/>
                <w:numId w:val="2"/>
              </w:numPr>
              <w:spacing w:before="60" w:after="60"/>
            </w:pPr>
            <w:r>
              <w:rPr>
                <w:rFonts w:ascii="Calibri" w:cs="Calibri" w:eastAsia="Calibri" w:hAnsi="Calibri"/>
                <w:sz w:val="22"/>
                <w:szCs w:val="22"/>
              </w:rPr>
              <w:t xml:space="preserve">Disaster Recovery Design — including RTO/RPO targets, restoration sequence (Day 1: Teams/SharePoint; Day 2: Defender/Security &amp; Compliance), and DR drill schedule</w:t>
            </w:r>
          </w:p>
        </w:tc>
      </w:tr>
    </w:tbl>
    <w:p>
      <w:pPr>
        <w:spacing w:before="120" w:after="80"/>
      </w:pPr>
    </w:p>
    <w:p>
      <w:pPr>
        <w:pStyle w:val="Heading2"/>
        <w:spacing w:before="300" w:after="160"/>
      </w:pPr>
      <w:r>
        <w:rPr>
          <w:rFonts w:ascii="Calibri" w:cs="Calibri" w:eastAsia="Calibri" w:hAnsi="Calibri"/>
          <w:b/>
          <w:bCs/>
          <w:color w:val="4472C4"/>
          <w:sz w:val="26"/>
          <w:szCs w:val="26"/>
        </w:rPr>
        <w:t xml:space="preserve">3.4 Open Issues &amp;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480"/>
        <w:gridCol w:w="1200"/>
        <w:gridCol w:w="1280"/>
      </w:tblGrid>
      <w:tr>
        <w:tc>
          <w:tcPr>
            <w:tcW w:type="dxa" w:w="400"/>
            <w:tcBorders>
              <w:top w:val="single" w:color="BDD0E9" w:sz="4"/>
              <w:left w:val="single" w:color="BDD0E9" w:sz="4"/>
              <w:bottom w:val="single" w:color="BDD0E9" w:sz="4"/>
              <w:right w:val="single" w:color="BDD0E9" w:sz="4"/>
            </w:tcBorders>
            <w:shd w:fill="2F5597"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4000"/>
            <w:tcBorders>
              <w:top w:val="single" w:color="BDD0E9" w:sz="4"/>
              <w:left w:val="single" w:color="BDD0E9" w:sz="4"/>
              <w:bottom w:val="single" w:color="BDD0E9" w:sz="4"/>
              <w:right w:val="single" w:color="BDD0E9" w:sz="4"/>
            </w:tcBorders>
            <w:shd w:fill="2F5597" w:val="clear"/>
            <w:tcMar>
              <w:top w:type="dxa" w:w="80"/>
              <w:left w:type="dxa" w:w="120"/>
              <w:bottom w:type="dxa" w:w="80"/>
              <w:right w:type="dxa" w:w="120"/>
            </w:tcMar>
          </w:tcPr>
          <w:p>
            <w:r>
              <w:rPr>
                <w:rFonts w:ascii="Calibri" w:cs="Calibri" w:eastAsia="Calibri" w:hAnsi="Calibri"/>
                <w:b/>
                <w:bCs/>
                <w:color w:val="FFFFFF"/>
                <w:sz w:val="20"/>
                <w:szCs w:val="20"/>
              </w:rPr>
              <w:t xml:space="preserve">Open Issue / Decision Required</w:t>
            </w:r>
          </w:p>
        </w:tc>
        <w:tc>
          <w:tcPr>
            <w:tcW w:type="dxa" w:w="2480"/>
            <w:tcBorders>
              <w:top w:val="single" w:color="BDD0E9" w:sz="4"/>
              <w:left w:val="single" w:color="BDD0E9" w:sz="4"/>
              <w:bottom w:val="single" w:color="BDD0E9" w:sz="4"/>
              <w:right w:val="single" w:color="BDD0E9" w:sz="4"/>
            </w:tcBorders>
            <w:shd w:fill="2F5597" w:val="clear"/>
            <w:tcMar>
              <w:top w:type="dxa" w:w="80"/>
              <w:left w:type="dxa" w:w="120"/>
              <w:bottom w:type="dxa" w:w="80"/>
              <w:right w:type="dxa" w:w="120"/>
            </w:tcMar>
          </w:tcPr>
          <w:p>
            <w:r>
              <w:rPr>
                <w:rFonts w:ascii="Calibri" w:cs="Calibri" w:eastAsia="Calibri" w:hAnsi="Calibri"/>
                <w:b/>
                <w:bCs/>
                <w:color w:val="FFFFFF"/>
                <w:sz w:val="20"/>
                <w:szCs w:val="20"/>
              </w:rPr>
              <w:t xml:space="preserve">Owner</w:t>
            </w:r>
          </w:p>
        </w:tc>
        <w:tc>
          <w:tcPr>
            <w:tcW w:type="dxa" w:w="1200"/>
            <w:tcBorders>
              <w:top w:val="single" w:color="BDD0E9" w:sz="4"/>
              <w:left w:val="single" w:color="BDD0E9" w:sz="4"/>
              <w:bottom w:val="single" w:color="BDD0E9" w:sz="4"/>
              <w:right w:val="single" w:color="BDD0E9" w:sz="4"/>
            </w:tcBorders>
            <w:shd w:fill="2F5597"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1280"/>
            <w:tcBorders>
              <w:top w:val="single" w:color="BDD0E9" w:sz="4"/>
              <w:left w:val="single" w:color="BDD0E9" w:sz="4"/>
              <w:bottom w:val="single" w:color="BDD0E9" w:sz="4"/>
              <w:right w:val="single" w:color="BDD0E9" w:sz="4"/>
            </w:tcBorders>
            <w:shd w:fill="2F5597" w:val="clear"/>
            <w:tcMar>
              <w:top w:type="dxa" w:w="80"/>
              <w:left w:type="dxa" w:w="120"/>
              <w:bottom w:type="dxa" w:w="80"/>
              <w:right w:type="dxa" w:w="120"/>
            </w:tcMar>
          </w:tcPr>
          <w:p>
            <w:r>
              <w:rPr>
                <w:rFonts w:ascii="Calibri" w:cs="Calibri" w:eastAsia="Calibri" w:hAnsi="Calibri"/>
                <w:b/>
                <w:bCs/>
                <w:color w:val="FFFFFF"/>
                <w:sz w:val="20"/>
                <w:szCs w:val="20"/>
              </w:rPr>
              <w:t xml:space="preserve">Target Date</w:t>
            </w:r>
          </w:p>
        </w:tc>
      </w:tr>
      <w:tr>
        <w:tc>
          <w:tcPr>
            <w:tcW w:type="dxa" w:w="400"/>
            <w:tcBorders>
              <w:top w:val="single" w:color="BDD0E9" w:sz="4"/>
              <w:left w:val="single" w:color="BDD0E9" w:sz="4"/>
              <w:bottom w:val="single" w:color="BDD0E9" w:sz="4"/>
              <w:right w:val="single" w:color="BDD0E9" w:sz="4"/>
            </w:tcBorders>
            <w:shd w:fill="D6E4F7" w:val="clear"/>
            <w:tcMar>
              <w:top w:type="dxa" w:w="80"/>
              <w:left w:type="dxa" w:w="100"/>
              <w:bottom w:type="dxa" w:w="80"/>
              <w:right w:type="dxa" w:w="100"/>
            </w:tcMar>
          </w:tcPr>
          <w:p>
            <w:r>
              <w:rPr>
                <w:rFonts w:ascii="Calibri" w:cs="Calibri" w:eastAsia="Calibri" w:hAnsi="Calibri"/>
                <w:b/>
                <w:bCs/>
                <w:sz w:val="20"/>
                <w:szCs w:val="20"/>
              </w:rPr>
              <w:t xml:space="preserve">OI-01</w:t>
            </w:r>
          </w:p>
        </w:tc>
        <w:tc>
          <w:tcPr>
            <w:tcW w:type="dxa" w:w="400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Execution platform selection — confirm Azure Automation Runbooks vs. Azure Container Instances vs. on-premises server</w:t>
            </w:r>
          </w:p>
        </w:tc>
        <w:tc>
          <w:tcPr>
            <w:tcW w:type="dxa" w:w="248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IT Infrastructure</w:t>
            </w:r>
          </w:p>
        </w:tc>
        <w:tc>
          <w:tcPr>
            <w:tcW w:type="dxa" w:w="1200"/>
            <w:tcBorders>
              <w:top w:val="single" w:color="BDD0E9" w:sz="4"/>
              <w:left w:val="single" w:color="BDD0E9" w:sz="4"/>
              <w:bottom w:val="single" w:color="BDD0E9" w:sz="4"/>
              <w:right w:val="single" w:color="BDD0E9" w:sz="4"/>
            </w:tcBorders>
            <w:shd w:fill="FFF2F0" w:val="clear"/>
            <w:tcMar>
              <w:top w:type="dxa" w:w="80"/>
              <w:left w:type="dxa" w:w="120"/>
              <w:bottom w:type="dxa" w:w="80"/>
              <w:right w:type="dxa" w:w="120"/>
            </w:tcMar>
          </w:tcPr>
          <w:p>
            <w:r>
              <w:rPr>
                <w:rFonts w:ascii="Calibri" w:cs="Calibri" w:eastAsia="Calibri" w:hAnsi="Calibri"/>
                <w:b/>
                <w:bCs/>
                <w:color w:val="C0392B"/>
                <w:sz w:val="20"/>
                <w:szCs w:val="20"/>
              </w:rPr>
              <w:t xml:space="preserve">Open</w:t>
            </w:r>
          </w:p>
        </w:tc>
        <w:tc>
          <w:tcPr>
            <w:tcW w:type="dxa" w:w="128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TBD</w:t>
            </w:r>
          </w:p>
        </w:tc>
      </w:tr>
      <w:tr>
        <w:tc>
          <w:tcPr>
            <w:tcW w:type="dxa" w:w="400"/>
            <w:tcBorders>
              <w:top w:val="single" w:color="BDD0E9" w:sz="4"/>
              <w:left w:val="single" w:color="BDD0E9" w:sz="4"/>
              <w:bottom w:val="single" w:color="BDD0E9" w:sz="4"/>
              <w:right w:val="single" w:color="BDD0E9" w:sz="4"/>
            </w:tcBorders>
            <w:shd w:fill="FFFFFF" w:val="clear"/>
            <w:tcMar>
              <w:top w:type="dxa" w:w="80"/>
              <w:left w:type="dxa" w:w="100"/>
              <w:bottom w:type="dxa" w:w="80"/>
              <w:right w:type="dxa" w:w="100"/>
            </w:tcMar>
          </w:tcPr>
          <w:p>
            <w:r>
              <w:rPr>
                <w:rFonts w:ascii="Calibri" w:cs="Calibri" w:eastAsia="Calibri" w:hAnsi="Calibri"/>
                <w:b/>
                <w:bCs/>
                <w:sz w:val="20"/>
                <w:szCs w:val="20"/>
              </w:rPr>
              <w:t xml:space="preserve">OI-02</w:t>
            </w:r>
          </w:p>
        </w:tc>
        <w:tc>
          <w:tcPr>
            <w:tcW w:type="dxa" w:w="400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Certificate Authority selection and CISO approval for Azure Key Vault usage</w:t>
            </w:r>
          </w:p>
        </w:tc>
        <w:tc>
          <w:tcPr>
            <w:tcW w:type="dxa" w:w="248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CISO / IT Security</w:t>
            </w:r>
          </w:p>
        </w:tc>
        <w:tc>
          <w:tcPr>
            <w:tcW w:type="dxa" w:w="1200"/>
            <w:tcBorders>
              <w:top w:val="single" w:color="BDD0E9" w:sz="4"/>
              <w:left w:val="single" w:color="BDD0E9" w:sz="4"/>
              <w:bottom w:val="single" w:color="BDD0E9" w:sz="4"/>
              <w:right w:val="single" w:color="BDD0E9" w:sz="4"/>
            </w:tcBorders>
            <w:shd w:fill="FFF2F0" w:val="clear"/>
            <w:tcMar>
              <w:top w:type="dxa" w:w="80"/>
              <w:left w:type="dxa" w:w="120"/>
              <w:bottom w:type="dxa" w:w="80"/>
              <w:right w:type="dxa" w:w="120"/>
            </w:tcMar>
          </w:tcPr>
          <w:p>
            <w:r>
              <w:rPr>
                <w:rFonts w:ascii="Calibri" w:cs="Calibri" w:eastAsia="Calibri" w:hAnsi="Calibri"/>
                <w:b/>
                <w:bCs/>
                <w:color w:val="C0392B"/>
                <w:sz w:val="20"/>
                <w:szCs w:val="20"/>
              </w:rPr>
              <w:t xml:space="preserve">Open</w:t>
            </w:r>
          </w:p>
        </w:tc>
        <w:tc>
          <w:tcPr>
            <w:tcW w:type="dxa" w:w="128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TBD</w:t>
            </w:r>
          </w:p>
        </w:tc>
      </w:tr>
      <w:tr>
        <w:tc>
          <w:tcPr>
            <w:tcW w:type="dxa" w:w="400"/>
            <w:tcBorders>
              <w:top w:val="single" w:color="BDD0E9" w:sz="4"/>
              <w:left w:val="single" w:color="BDD0E9" w:sz="4"/>
              <w:bottom w:val="single" w:color="BDD0E9" w:sz="4"/>
              <w:right w:val="single" w:color="BDD0E9" w:sz="4"/>
            </w:tcBorders>
            <w:shd w:fill="D6E4F7" w:val="clear"/>
            <w:tcMar>
              <w:top w:type="dxa" w:w="80"/>
              <w:left w:type="dxa" w:w="100"/>
              <w:bottom w:type="dxa" w:w="80"/>
              <w:right w:type="dxa" w:w="100"/>
            </w:tcMar>
          </w:tcPr>
          <w:p>
            <w:r>
              <w:rPr>
                <w:rFonts w:ascii="Calibri" w:cs="Calibri" w:eastAsia="Calibri" w:hAnsi="Calibri"/>
                <w:b/>
                <w:bCs/>
                <w:sz w:val="20"/>
                <w:szCs w:val="20"/>
              </w:rPr>
              <w:t xml:space="preserve">OI-03</w:t>
            </w:r>
          </w:p>
        </w:tc>
        <w:tc>
          <w:tcPr>
            <w:tcW w:type="dxa" w:w="400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Alerting integration channel confirmation — confirm SIEM/SOAR platform and SOC alert routing</w:t>
            </w:r>
          </w:p>
        </w:tc>
        <w:tc>
          <w:tcPr>
            <w:tcW w:type="dxa" w:w="248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SOC / IT Security</w:t>
            </w:r>
          </w:p>
        </w:tc>
        <w:tc>
          <w:tcPr>
            <w:tcW w:type="dxa" w:w="1200"/>
            <w:tcBorders>
              <w:top w:val="single" w:color="BDD0E9" w:sz="4"/>
              <w:left w:val="single" w:color="BDD0E9" w:sz="4"/>
              <w:bottom w:val="single" w:color="BDD0E9" w:sz="4"/>
              <w:right w:val="single" w:color="BDD0E9" w:sz="4"/>
            </w:tcBorders>
            <w:shd w:fill="FFF2F0" w:val="clear"/>
            <w:tcMar>
              <w:top w:type="dxa" w:w="80"/>
              <w:left w:type="dxa" w:w="120"/>
              <w:bottom w:type="dxa" w:w="80"/>
              <w:right w:type="dxa" w:w="120"/>
            </w:tcMar>
          </w:tcPr>
          <w:p>
            <w:r>
              <w:rPr>
                <w:rFonts w:ascii="Calibri" w:cs="Calibri" w:eastAsia="Calibri" w:hAnsi="Calibri"/>
                <w:b/>
                <w:bCs/>
                <w:color w:val="C0392B"/>
                <w:sz w:val="20"/>
                <w:szCs w:val="20"/>
              </w:rPr>
              <w:t xml:space="preserve">Open</w:t>
            </w:r>
          </w:p>
        </w:tc>
        <w:tc>
          <w:tcPr>
            <w:tcW w:type="dxa" w:w="128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TBD</w:t>
            </w:r>
          </w:p>
        </w:tc>
      </w:tr>
      <w:tr>
        <w:tc>
          <w:tcPr>
            <w:tcW w:type="dxa" w:w="400"/>
            <w:tcBorders>
              <w:top w:val="single" w:color="BDD0E9" w:sz="4"/>
              <w:left w:val="single" w:color="BDD0E9" w:sz="4"/>
              <w:bottom w:val="single" w:color="BDD0E9" w:sz="4"/>
              <w:right w:val="single" w:color="BDD0E9" w:sz="4"/>
            </w:tcBorders>
            <w:shd w:fill="FFFFFF" w:val="clear"/>
            <w:tcMar>
              <w:top w:type="dxa" w:w="80"/>
              <w:left w:type="dxa" w:w="100"/>
              <w:bottom w:type="dxa" w:w="80"/>
              <w:right w:type="dxa" w:w="100"/>
            </w:tcMar>
          </w:tcPr>
          <w:p>
            <w:r>
              <w:rPr>
                <w:rFonts w:ascii="Calibri" w:cs="Calibri" w:eastAsia="Calibri" w:hAnsi="Calibri"/>
                <w:b/>
                <w:bCs/>
                <w:sz w:val="20"/>
                <w:szCs w:val="20"/>
              </w:rPr>
              <w:t xml:space="preserve">OI-04</w:t>
            </w:r>
          </w:p>
        </w:tc>
        <w:tc>
          <w:tcPr>
            <w:tcW w:type="dxa" w:w="400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Auto-remediation scope for Phase 2 — define which workload configurations may be auto-remediated</w:t>
            </w:r>
          </w:p>
        </w:tc>
        <w:tc>
          <w:tcPr>
            <w:tcW w:type="dxa" w:w="248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IT Architecture</w:t>
            </w:r>
          </w:p>
        </w:tc>
        <w:tc>
          <w:tcPr>
            <w:tcW w:type="dxa" w:w="1200"/>
            <w:tcBorders>
              <w:top w:val="single" w:color="BDD0E9" w:sz="4"/>
              <w:left w:val="single" w:color="BDD0E9" w:sz="4"/>
              <w:bottom w:val="single" w:color="BDD0E9" w:sz="4"/>
              <w:right w:val="single" w:color="BDD0E9" w:sz="4"/>
            </w:tcBorders>
            <w:shd w:fill="FFF2F0" w:val="clear"/>
            <w:tcMar>
              <w:top w:type="dxa" w:w="80"/>
              <w:left w:type="dxa" w:w="120"/>
              <w:bottom w:type="dxa" w:w="80"/>
              <w:right w:type="dxa" w:w="120"/>
            </w:tcMar>
          </w:tcPr>
          <w:p>
            <w:r>
              <w:rPr>
                <w:rFonts w:ascii="Calibri" w:cs="Calibri" w:eastAsia="Calibri" w:hAnsi="Calibri"/>
                <w:b/>
                <w:bCs/>
                <w:color w:val="C0392B"/>
                <w:sz w:val="20"/>
                <w:szCs w:val="20"/>
              </w:rPr>
              <w:t xml:space="preserve">Open</w:t>
            </w:r>
          </w:p>
        </w:tc>
        <w:tc>
          <w:tcPr>
            <w:tcW w:type="dxa" w:w="128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Phase 2</w:t>
            </w:r>
          </w:p>
        </w:tc>
      </w:tr>
      <w:tr>
        <w:tc>
          <w:tcPr>
            <w:tcW w:type="dxa" w:w="400"/>
            <w:tcBorders>
              <w:top w:val="single" w:color="BDD0E9" w:sz="4"/>
              <w:left w:val="single" w:color="BDD0E9" w:sz="4"/>
              <w:bottom w:val="single" w:color="BDD0E9" w:sz="4"/>
              <w:right w:val="single" w:color="BDD0E9" w:sz="4"/>
            </w:tcBorders>
            <w:shd w:fill="D6E4F7" w:val="clear"/>
            <w:tcMar>
              <w:top w:type="dxa" w:w="80"/>
              <w:left w:type="dxa" w:w="100"/>
              <w:bottom w:type="dxa" w:w="80"/>
              <w:right w:type="dxa" w:w="100"/>
            </w:tcMar>
          </w:tcPr>
          <w:p>
            <w:r>
              <w:rPr>
                <w:rFonts w:ascii="Calibri" w:cs="Calibri" w:eastAsia="Calibri" w:hAnsi="Calibri"/>
                <w:b/>
                <w:bCs/>
                <w:sz w:val="20"/>
                <w:szCs w:val="20"/>
              </w:rPr>
              <w:t xml:space="preserve">OI-05</w:t>
            </w:r>
          </w:p>
        </w:tc>
        <w:tc>
          <w:tcPr>
            <w:tcW w:type="dxa" w:w="400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Data residency confirmation for Azure Blob Storage region selection</w:t>
            </w:r>
          </w:p>
        </w:tc>
        <w:tc>
          <w:tcPr>
            <w:tcW w:type="dxa" w:w="248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Data Governance</w:t>
            </w:r>
          </w:p>
        </w:tc>
        <w:tc>
          <w:tcPr>
            <w:tcW w:type="dxa" w:w="1200"/>
            <w:tcBorders>
              <w:top w:val="single" w:color="BDD0E9" w:sz="4"/>
              <w:left w:val="single" w:color="BDD0E9" w:sz="4"/>
              <w:bottom w:val="single" w:color="BDD0E9" w:sz="4"/>
              <w:right w:val="single" w:color="BDD0E9" w:sz="4"/>
            </w:tcBorders>
            <w:shd w:fill="FFF2F0" w:val="clear"/>
            <w:tcMar>
              <w:top w:type="dxa" w:w="80"/>
              <w:left w:type="dxa" w:w="120"/>
              <w:bottom w:type="dxa" w:w="80"/>
              <w:right w:type="dxa" w:w="120"/>
            </w:tcMar>
          </w:tcPr>
          <w:p>
            <w:r>
              <w:rPr>
                <w:rFonts w:ascii="Calibri" w:cs="Calibri" w:eastAsia="Calibri" w:hAnsi="Calibri"/>
                <w:b/>
                <w:bCs/>
                <w:color w:val="C0392B"/>
                <w:sz w:val="20"/>
                <w:szCs w:val="20"/>
              </w:rPr>
              <w:t xml:space="preserve">Open</w:t>
            </w:r>
          </w:p>
        </w:tc>
        <w:tc>
          <w:tcPr>
            <w:tcW w:type="dxa" w:w="128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0"/>
                <w:szCs w:val="20"/>
              </w:rPr>
              <w:t xml:space="preserve">TBD</w:t>
            </w:r>
          </w:p>
        </w:tc>
      </w:tr>
      <w:tr>
        <w:tc>
          <w:tcPr>
            <w:tcW w:type="dxa" w:w="400"/>
            <w:tcBorders>
              <w:top w:val="single" w:color="BDD0E9" w:sz="4"/>
              <w:left w:val="single" w:color="BDD0E9" w:sz="4"/>
              <w:bottom w:val="single" w:color="BDD0E9" w:sz="4"/>
              <w:right w:val="single" w:color="BDD0E9" w:sz="4"/>
            </w:tcBorders>
            <w:shd w:fill="FFFFFF" w:val="clear"/>
            <w:tcMar>
              <w:top w:type="dxa" w:w="80"/>
              <w:left w:type="dxa" w:w="100"/>
              <w:bottom w:type="dxa" w:w="80"/>
              <w:right w:type="dxa" w:w="100"/>
            </w:tcMar>
          </w:tcPr>
          <w:p>
            <w:r>
              <w:rPr>
                <w:rFonts w:ascii="Calibri" w:cs="Calibri" w:eastAsia="Calibri" w:hAnsi="Calibri"/>
                <w:b/>
                <w:bCs/>
                <w:sz w:val="20"/>
                <w:szCs w:val="20"/>
              </w:rPr>
              <w:t xml:space="preserve">OI-06</w:t>
            </w:r>
          </w:p>
        </w:tc>
        <w:tc>
          <w:tcPr>
            <w:tcW w:type="dxa" w:w="400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Change management workflow integration — define approval gates for baseline configuration changes</w:t>
            </w:r>
          </w:p>
        </w:tc>
        <w:tc>
          <w:tcPr>
            <w:tcW w:type="dxa" w:w="248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Change Management</w:t>
            </w:r>
          </w:p>
        </w:tc>
        <w:tc>
          <w:tcPr>
            <w:tcW w:type="dxa" w:w="1200"/>
            <w:tcBorders>
              <w:top w:val="single" w:color="BDD0E9" w:sz="4"/>
              <w:left w:val="single" w:color="BDD0E9" w:sz="4"/>
              <w:bottom w:val="single" w:color="BDD0E9" w:sz="4"/>
              <w:right w:val="single" w:color="BDD0E9" w:sz="4"/>
            </w:tcBorders>
            <w:shd w:fill="FFF2F0" w:val="clear"/>
            <w:tcMar>
              <w:top w:type="dxa" w:w="80"/>
              <w:left w:type="dxa" w:w="120"/>
              <w:bottom w:type="dxa" w:w="80"/>
              <w:right w:type="dxa" w:w="120"/>
            </w:tcMar>
          </w:tcPr>
          <w:p>
            <w:r>
              <w:rPr>
                <w:rFonts w:ascii="Calibri" w:cs="Calibri" w:eastAsia="Calibri" w:hAnsi="Calibri"/>
                <w:b/>
                <w:bCs/>
                <w:color w:val="C0392B"/>
                <w:sz w:val="20"/>
                <w:szCs w:val="20"/>
              </w:rPr>
              <w:t xml:space="preserve">Open</w:t>
            </w:r>
          </w:p>
        </w:tc>
        <w:tc>
          <w:tcPr>
            <w:tcW w:type="dxa" w:w="128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0"/>
                <w:szCs w:val="20"/>
              </w:rPr>
              <w:t xml:space="preserve">TBD</w:t>
            </w:r>
          </w:p>
        </w:tc>
      </w:tr>
    </w:tbl>
    <w:p>
      <w:pPr>
        <w:spacing w:before="200" w:after="100"/>
      </w:pPr>
    </w:p>
    <w:p>
      <w:pPr>
        <w:pStyle w:val="Heading1"/>
        <w:pBdr>
          <w:bottom w:val="single" w:color="2F5597" w:sz="8" w:space="4"/>
        </w:pBdr>
        <w:spacing w:before="400" w:after="200"/>
      </w:pPr>
      <w:r>
        <w:rPr>
          <w:rFonts w:ascii="Calibri" w:cs="Calibri" w:eastAsia="Calibri" w:hAnsi="Calibri"/>
          <w:b/>
          <w:bCs/>
          <w:color w:val="2F5597"/>
          <w:sz w:val="32"/>
          <w:szCs w:val="32"/>
        </w:rPr>
        <w:t xml:space="preserve">4.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0E9" w:sz="4"/>
              <w:left w:val="single" w:color="BDD0E9" w:sz="4"/>
              <w:bottom w:val="single" w:color="BDD0E9" w:sz="4"/>
              <w:right w:val="single" w:color="BDD0E9" w:sz="4"/>
            </w:tcBorders>
            <w:shd w:fill="D6E4F7" w:val="clear"/>
            <w:tcMar>
              <w:top w:type="dxa" w:w="80"/>
              <w:left w:type="dxa" w:w="120"/>
              <w:bottom w:type="dxa" w:w="80"/>
              <w:right w:type="dxa" w:w="120"/>
            </w:tcMar>
          </w:tcPr>
          <w:p>
            <w:r>
              <w:rPr>
                <w:rFonts w:ascii="Calibri" w:cs="Calibri" w:eastAsia="Calibri" w:hAnsi="Calibri"/>
                <w:b/>
                <w:bCs/>
                <w:sz w:val="22"/>
                <w:szCs w:val="22"/>
              </w:rPr>
              <w:t xml:space="preserve">Document Title</w:t>
            </w:r>
          </w:p>
        </w:tc>
        <w:tc>
          <w:tcPr>
            <w:tcW w:type="dxa" w:w="636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2"/>
                <w:szCs w:val="22"/>
              </w:rPr>
              <w:t xml:space="preserve">M365 DSC — Trades Review Submission</w:t>
            </w:r>
          </w:p>
        </w:tc>
      </w:tr>
      <w:tr>
        <w:tc>
          <w:tcPr>
            <w:tcW w:type="dxa" w:w="3000"/>
            <w:tcBorders>
              <w:top w:val="single" w:color="BDD0E9" w:sz="4"/>
              <w:left w:val="single" w:color="BDD0E9" w:sz="4"/>
              <w:bottom w:val="single" w:color="BDD0E9" w:sz="4"/>
              <w:right w:val="single" w:color="BDD0E9" w:sz="4"/>
            </w:tcBorders>
            <w:shd w:fill="EEF4FB" w:val="clear"/>
            <w:tcMar>
              <w:top w:type="dxa" w:w="80"/>
              <w:left w:type="dxa" w:w="120"/>
              <w:bottom w:type="dxa" w:w="80"/>
              <w:right w:type="dxa" w:w="120"/>
            </w:tcMar>
          </w:tcPr>
          <w:p>
            <w:r>
              <w:rPr>
                <w:rFonts w:ascii="Calibri" w:cs="Calibri" w:eastAsia="Calibri" w:hAnsi="Calibri"/>
                <w:b/>
                <w:bCs/>
                <w:sz w:val="22"/>
                <w:szCs w:val="22"/>
              </w:rPr>
              <w:t xml:space="preserve">Document Version</w:t>
            </w:r>
          </w:p>
        </w:tc>
        <w:tc>
          <w:tcPr>
            <w:tcW w:type="dxa" w:w="636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2"/>
                <w:szCs w:val="22"/>
              </w:rPr>
              <w:t xml:space="preserve">1.0 (Draft for Review)</w:t>
            </w:r>
          </w:p>
        </w:tc>
      </w:tr>
      <w:tr>
        <w:tc>
          <w:tcPr>
            <w:tcW w:type="dxa" w:w="3000"/>
            <w:tcBorders>
              <w:top w:val="single" w:color="BDD0E9" w:sz="4"/>
              <w:left w:val="single" w:color="BDD0E9" w:sz="4"/>
              <w:bottom w:val="single" w:color="BDD0E9" w:sz="4"/>
              <w:right w:val="single" w:color="BDD0E9" w:sz="4"/>
            </w:tcBorders>
            <w:shd w:fill="D6E4F7" w:val="clear"/>
            <w:tcMar>
              <w:top w:type="dxa" w:w="80"/>
              <w:left w:type="dxa" w:w="120"/>
              <w:bottom w:type="dxa" w:w="80"/>
              <w:right w:type="dxa" w:w="120"/>
            </w:tcMar>
          </w:tcPr>
          <w:p>
            <w:r>
              <w:rPr>
                <w:rFonts w:ascii="Calibri" w:cs="Calibri" w:eastAsia="Calibri" w:hAnsi="Calibri"/>
                <w:b/>
                <w:bCs/>
                <w:sz w:val="22"/>
                <w:szCs w:val="22"/>
              </w:rPr>
              <w:t xml:space="preserve">Date</w:t>
            </w:r>
          </w:p>
        </w:tc>
        <w:tc>
          <w:tcPr>
            <w:tcW w:type="dxa" w:w="636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2"/>
                <w:szCs w:val="22"/>
              </w:rPr>
              <w:t xml:space="preserve">January 2026</w:t>
            </w:r>
          </w:p>
        </w:tc>
      </w:tr>
      <w:tr>
        <w:tc>
          <w:tcPr>
            <w:tcW w:type="dxa" w:w="3000"/>
            <w:tcBorders>
              <w:top w:val="single" w:color="BDD0E9" w:sz="4"/>
              <w:left w:val="single" w:color="BDD0E9" w:sz="4"/>
              <w:bottom w:val="single" w:color="BDD0E9" w:sz="4"/>
              <w:right w:val="single" w:color="BDD0E9" w:sz="4"/>
            </w:tcBorders>
            <w:shd w:fill="EEF4FB" w:val="clear"/>
            <w:tcMar>
              <w:top w:type="dxa" w:w="80"/>
              <w:left w:type="dxa" w:w="120"/>
              <w:bottom w:type="dxa" w:w="80"/>
              <w:right w:type="dxa" w:w="120"/>
            </w:tcMar>
          </w:tcPr>
          <w:p>
            <w:r>
              <w:rPr>
                <w:rFonts w:ascii="Calibri" w:cs="Calibri" w:eastAsia="Calibri" w:hAnsi="Calibri"/>
                <w:b/>
                <w:bCs/>
                <w:sz w:val="22"/>
                <w:szCs w:val="22"/>
              </w:rPr>
              <w:t xml:space="preserve">Prepared By</w:t>
            </w:r>
          </w:p>
        </w:tc>
        <w:tc>
          <w:tcPr>
            <w:tcW w:type="dxa" w:w="636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2"/>
                <w:szCs w:val="22"/>
              </w:rPr>
              <w:t xml:space="preserve">[Name] — IT Infrastructure &amp; Security</w:t>
            </w:r>
          </w:p>
        </w:tc>
      </w:tr>
      <w:tr>
        <w:tc>
          <w:tcPr>
            <w:tcW w:type="dxa" w:w="3000"/>
            <w:tcBorders>
              <w:top w:val="single" w:color="BDD0E9" w:sz="4"/>
              <w:left w:val="single" w:color="BDD0E9" w:sz="4"/>
              <w:bottom w:val="single" w:color="BDD0E9" w:sz="4"/>
              <w:right w:val="single" w:color="BDD0E9" w:sz="4"/>
            </w:tcBorders>
            <w:shd w:fill="D6E4F7" w:val="clear"/>
            <w:tcMar>
              <w:top w:type="dxa" w:w="80"/>
              <w:left w:type="dxa" w:w="120"/>
              <w:bottom w:type="dxa" w:w="80"/>
              <w:right w:type="dxa" w:w="120"/>
            </w:tcMar>
          </w:tcPr>
          <w:p>
            <w:r>
              <w:rPr>
                <w:rFonts w:ascii="Calibri" w:cs="Calibri" w:eastAsia="Calibri" w:hAnsi="Calibri"/>
                <w:b/>
                <w:bCs/>
                <w:sz w:val="22"/>
                <w:szCs w:val="22"/>
              </w:rPr>
              <w:t xml:space="preserve">Reviewed By</w:t>
            </w:r>
          </w:p>
        </w:tc>
        <w:tc>
          <w:tcPr>
            <w:tcW w:type="dxa" w:w="636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2"/>
                <w:szCs w:val="22"/>
              </w:rPr>
              <w:t xml:space="preserve">Pending</w:t>
            </w:r>
          </w:p>
        </w:tc>
      </w:tr>
      <w:tr>
        <w:tc>
          <w:tcPr>
            <w:tcW w:type="dxa" w:w="3000"/>
            <w:tcBorders>
              <w:top w:val="single" w:color="BDD0E9" w:sz="4"/>
              <w:left w:val="single" w:color="BDD0E9" w:sz="4"/>
              <w:bottom w:val="single" w:color="BDD0E9" w:sz="4"/>
              <w:right w:val="single" w:color="BDD0E9" w:sz="4"/>
            </w:tcBorders>
            <w:shd w:fill="EEF4FB" w:val="clear"/>
            <w:tcMar>
              <w:top w:type="dxa" w:w="80"/>
              <w:left w:type="dxa" w:w="120"/>
              <w:bottom w:type="dxa" w:w="80"/>
              <w:right w:type="dxa" w:w="120"/>
            </w:tcMar>
          </w:tcPr>
          <w:p>
            <w:r>
              <w:rPr>
                <w:rFonts w:ascii="Calibri" w:cs="Calibri" w:eastAsia="Calibri" w:hAnsi="Calibri"/>
                <w:b/>
                <w:bCs/>
                <w:sz w:val="22"/>
                <w:szCs w:val="22"/>
              </w:rPr>
              <w:t xml:space="preserve">Approved By</w:t>
            </w:r>
          </w:p>
        </w:tc>
        <w:tc>
          <w:tcPr>
            <w:tcW w:type="dxa" w:w="636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2"/>
                <w:szCs w:val="22"/>
              </w:rPr>
              <w:t xml:space="preserve">Pending</w:t>
            </w:r>
          </w:p>
        </w:tc>
      </w:tr>
      <w:tr>
        <w:tc>
          <w:tcPr>
            <w:tcW w:type="dxa" w:w="3000"/>
            <w:tcBorders>
              <w:top w:val="single" w:color="BDD0E9" w:sz="4"/>
              <w:left w:val="single" w:color="BDD0E9" w:sz="4"/>
              <w:bottom w:val="single" w:color="BDD0E9" w:sz="4"/>
              <w:right w:val="single" w:color="BDD0E9" w:sz="4"/>
            </w:tcBorders>
            <w:shd w:fill="D6E4F7" w:val="clear"/>
            <w:tcMar>
              <w:top w:type="dxa" w:w="80"/>
              <w:left w:type="dxa" w:w="120"/>
              <w:bottom w:type="dxa" w:w="80"/>
              <w:right w:type="dxa" w:w="120"/>
            </w:tcMar>
          </w:tcPr>
          <w:p>
            <w:r>
              <w:rPr>
                <w:rFonts w:ascii="Calibri" w:cs="Calibri" w:eastAsia="Calibri" w:hAnsi="Calibri"/>
                <w:b/>
                <w:bCs/>
                <w:sz w:val="22"/>
                <w:szCs w:val="22"/>
              </w:rPr>
              <w:t xml:space="preserve">Classification</w:t>
            </w:r>
          </w:p>
        </w:tc>
        <w:tc>
          <w:tcPr>
            <w:tcW w:type="dxa" w:w="636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2"/>
                <w:szCs w:val="22"/>
              </w:rPr>
              <w:t xml:space="preserve">Confidential — Internal Use Only</w:t>
            </w:r>
          </w:p>
        </w:tc>
      </w:tr>
      <w:tr>
        <w:tc>
          <w:tcPr>
            <w:tcW w:type="dxa" w:w="3000"/>
            <w:tcBorders>
              <w:top w:val="single" w:color="BDD0E9" w:sz="4"/>
              <w:left w:val="single" w:color="BDD0E9" w:sz="4"/>
              <w:bottom w:val="single" w:color="BDD0E9" w:sz="4"/>
              <w:right w:val="single" w:color="BDD0E9" w:sz="4"/>
            </w:tcBorders>
            <w:shd w:fill="EEF4FB" w:val="clear"/>
            <w:tcMar>
              <w:top w:type="dxa" w:w="80"/>
              <w:left w:type="dxa" w:w="120"/>
              <w:bottom w:type="dxa" w:w="80"/>
              <w:right w:type="dxa" w:w="120"/>
            </w:tcMar>
          </w:tcPr>
          <w:p>
            <w:r>
              <w:rPr>
                <w:rFonts w:ascii="Calibri" w:cs="Calibri" w:eastAsia="Calibri" w:hAnsi="Calibri"/>
                <w:b/>
                <w:bCs/>
                <w:sz w:val="22"/>
                <w:szCs w:val="22"/>
              </w:rPr>
              <w:t xml:space="preserve">Document Repository</w:t>
            </w:r>
          </w:p>
        </w:tc>
        <w:tc>
          <w:tcPr>
            <w:tcW w:type="dxa" w:w="636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2"/>
                <w:szCs w:val="22"/>
              </w:rPr>
              <w:t xml:space="preserve">[Insert link to Document Repository record]</w:t>
            </w:r>
          </w:p>
        </w:tc>
      </w:tr>
      <w:tr>
        <w:tc>
          <w:tcPr>
            <w:tcW w:type="dxa" w:w="3000"/>
            <w:tcBorders>
              <w:top w:val="single" w:color="BDD0E9" w:sz="4"/>
              <w:left w:val="single" w:color="BDD0E9" w:sz="4"/>
              <w:bottom w:val="single" w:color="BDD0E9" w:sz="4"/>
              <w:right w:val="single" w:color="BDD0E9" w:sz="4"/>
            </w:tcBorders>
            <w:shd w:fill="D6E4F7" w:val="clear"/>
            <w:tcMar>
              <w:top w:type="dxa" w:w="80"/>
              <w:left w:type="dxa" w:w="120"/>
              <w:bottom w:type="dxa" w:w="80"/>
              <w:right w:type="dxa" w:w="120"/>
            </w:tcMar>
          </w:tcPr>
          <w:p>
            <w:r>
              <w:rPr>
                <w:rFonts w:ascii="Calibri" w:cs="Calibri" w:eastAsia="Calibri" w:hAnsi="Calibri"/>
                <w:b/>
                <w:bCs/>
                <w:sz w:val="22"/>
                <w:szCs w:val="22"/>
              </w:rPr>
              <w:t xml:space="preserve">Associated Change Record</w:t>
            </w:r>
          </w:p>
        </w:tc>
        <w:tc>
          <w:tcPr>
            <w:tcW w:type="dxa" w:w="6360"/>
            <w:tcBorders>
              <w:top w:val="single" w:color="BDD0E9" w:sz="4"/>
              <w:left w:val="single" w:color="BDD0E9" w:sz="4"/>
              <w:bottom w:val="single" w:color="BDD0E9" w:sz="4"/>
              <w:right w:val="single" w:color="BDD0E9" w:sz="4"/>
            </w:tcBorders>
            <w:shd w:fill="FFFFFF" w:val="clear"/>
            <w:tcMar>
              <w:top w:type="dxa" w:w="80"/>
              <w:left w:type="dxa" w:w="120"/>
              <w:bottom w:type="dxa" w:w="80"/>
              <w:right w:type="dxa" w:w="120"/>
            </w:tcMar>
          </w:tcPr>
          <w:p>
            <w:r>
              <w:rPr>
                <w:rFonts w:ascii="Calibri" w:cs="Calibri" w:eastAsia="Calibri" w:hAnsi="Calibri"/>
                <w:sz w:val="22"/>
                <w:szCs w:val="22"/>
              </w:rPr>
              <w:t xml:space="preserve">[Insert change record reference]</w:t>
            </w:r>
          </w:p>
        </w:tc>
      </w:tr>
      <w:tr>
        <w:tc>
          <w:tcPr>
            <w:tcW w:type="dxa" w:w="3000"/>
            <w:tcBorders>
              <w:top w:val="single" w:color="BDD0E9" w:sz="4"/>
              <w:left w:val="single" w:color="BDD0E9" w:sz="4"/>
              <w:bottom w:val="single" w:color="BDD0E9" w:sz="4"/>
              <w:right w:val="single" w:color="BDD0E9" w:sz="4"/>
            </w:tcBorders>
            <w:shd w:fill="EEF4FB" w:val="clear"/>
            <w:tcMar>
              <w:top w:type="dxa" w:w="80"/>
              <w:left w:type="dxa" w:w="120"/>
              <w:bottom w:type="dxa" w:w="80"/>
              <w:right w:type="dxa" w:w="120"/>
            </w:tcMar>
          </w:tcPr>
          <w:p>
            <w:r>
              <w:rPr>
                <w:rFonts w:ascii="Calibri" w:cs="Calibri" w:eastAsia="Calibri" w:hAnsi="Calibri"/>
                <w:b/>
                <w:bCs/>
                <w:sz w:val="22"/>
                <w:szCs w:val="22"/>
              </w:rPr>
              <w:t xml:space="preserve">Next Review Date</w:t>
            </w:r>
          </w:p>
        </w:tc>
        <w:tc>
          <w:tcPr>
            <w:tcW w:type="dxa" w:w="6360"/>
            <w:tcBorders>
              <w:top w:val="single" w:color="BDD0E9" w:sz="4"/>
              <w:left w:val="single" w:color="BDD0E9" w:sz="4"/>
              <w:bottom w:val="single" w:color="BDD0E9" w:sz="4"/>
              <w:right w:val="single" w:color="BDD0E9" w:sz="4"/>
            </w:tcBorders>
            <w:shd w:fill="F8FBFF" w:val="clear"/>
            <w:tcMar>
              <w:top w:type="dxa" w:w="80"/>
              <w:left w:type="dxa" w:w="120"/>
              <w:bottom w:type="dxa" w:w="80"/>
              <w:right w:type="dxa" w:w="120"/>
            </w:tcMar>
          </w:tcPr>
          <w:p>
            <w:r>
              <w:rPr>
                <w:rFonts w:ascii="Calibri" w:cs="Calibri" w:eastAsia="Calibri" w:hAnsi="Calibri"/>
                <w:sz w:val="22"/>
                <w:szCs w:val="22"/>
              </w:rPr>
              <w:t xml:space="preserve">[Insert date — recommend 6 months post go-live]</w:t>
            </w:r>
          </w:p>
        </w:tc>
      </w:tr>
    </w:tbl>
    <w:p>
      <w:pPr>
        <w:spacing w:before="120" w:after="80"/>
      </w:pPr>
    </w:p>
    <w:p>
      <w:pPr>
        <w:spacing w:before="100" w:after="100"/>
      </w:pPr>
      <w:r>
        <w:rPr>
          <w:rFonts w:ascii="Calibri" w:cs="Calibri" w:eastAsia="Calibri" w:hAnsi="Calibri"/>
          <w:sz w:val="22"/>
          <w:szCs w:val="22"/>
        </w:rPr>
        <w:t xml:space="preserve">This document should be updated as open issues are resolved and decisions confirmed. All revisions must be recorded in the version history and the document re-registered in the Document Repository.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5597" w:sz="6" w:space="1"/>
      </w:pBdr>
      <w:tabs>
        <w:tab w:val="right" w:pos="9360"/>
      </w:tabs>
      <w:spacing w:before="80"/>
    </w:pPr>
    <w:r>
      <w:rPr>
        <w:rFonts w:ascii="Calibri" w:cs="Calibri" w:eastAsia="Calibri" w:hAnsi="Calibri"/>
        <w:color w:val="777777"/>
        <w:sz w:val="16"/>
        <w:szCs w:val="16"/>
      </w:rPr>
      <w:t xml:space="preserve">	Version 1.0  |  January 2026  |  IT Infrastructure &amp; Security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597" w:sz="6" w:space="1"/>
      </w:pBdr>
      <w:tabs>
        <w:tab w:val="right" w:pos="9360"/>
      </w:tabs>
      <w:spacing w:after="0"/>
    </w:pPr>
    <w:r>
      <w:rPr>
        <w:rFonts w:ascii="Calibri" w:cs="Calibri" w:eastAsia="Calibri" w:hAnsi="Calibri"/>
        <w:color w:val="555555"/>
        <w:sz w:val="18"/>
        <w:szCs w:val="18"/>
      </w:rPr>
      <w:t xml:space="preserve">Microsoft 365 DSC — Trade Review Submission</w:t>
    </w:r>
    <w:r>
      <w:rPr>
        <w:rFonts w:ascii="Calibri" w:cs="Calibri" w:eastAsia="Calibri" w:hAnsi="Calibri"/>
        <w:b/>
        <w:bCs/>
        <w:color w:val="2F5597"/>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2F5597"/>
      <w:sz w:val="32"/>
      <w:szCs w:val="32"/>
    </w:rPr>
  </w:style>
  <w:style w:type="paragraph" w:styleId="Heading2">
    <w:name w:val="Heading 2"/>
    <w:basedOn w:val="Normal"/>
    <w:next w:val="Normal"/>
    <w:qFormat/>
    <w:pPr>
      <w:spacing w:before="300" w:after="160"/>
      <w:outlineLvl w:val="1"/>
    </w:pPr>
    <w:rPr>
      <w:rFonts w:ascii="Calibri" w:cs="Calibri" w:eastAsia="Calibri" w:hAnsi="Calibri"/>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2026-02-18T18:51:47.702Z</dcterms:created>
  <dcterms:modified xsi:type="dcterms:W3CDTF">2026-02-18T18:51:47.703Z</dcterms:modified>
</cp:coreProperties>
</file>

<file path=docProps/custom.xml><?xml version="1.0" encoding="utf-8"?>
<Properties xmlns="http://schemas.openxmlformats.org/officeDocument/2006/custom-properties" xmlns:vt="http://schemas.openxmlformats.org/officeDocument/2006/docPropsVTypes"/>
</file>