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F625B"/>
        </w:rPr>
        <w:t>MediFlow KPI Validation Report</w:t>
      </w:r>
    </w:p>
    <w:p>
      <w:pPr>
        <w:spacing w:after="160"/>
      </w:pPr>
      <w:r>
        <w:rPr>
          <w:b/>
        </w:rPr>
        <w:t>Question:</w:t>
      </w:r>
      <w:r>
        <w:t xml:space="preserve"> does the scheduling algorithm reduce patient waiting time compared to how the clinic operates today (no prioritization system, first-come-first-served)?</w:t>
      </w:r>
    </w:p>
    <w:p>
      <w:pPr>
        <w:spacing w:after="160"/>
      </w:pPr>
      <w:r>
        <w:rPr>
          <w:b/>
        </w:rPr>
        <w:t>Answer:</w:t>
      </w:r>
      <w:r>
        <w:t xml:space="preserve"> yes, consistently, across 10 synthetic test days spanning 12–25 patients — an average of </w:t>
      </w:r>
      <w:r>
        <w:rPr>
          <w:b/>
        </w:rPr>
        <w:t>37.0 minutes</w:t>
      </w:r>
      <w:r>
        <w:t xml:space="preserve"> less waiting per patient (a </w:t>
      </w:r>
      <w:r>
        <w:rPr>
          <w:b/>
        </w:rPr>
        <w:t>51% reduction</w:t>
      </w:r>
      <w:r>
        <w:t>), with the effect holding on every single day tested.</w:t>
      </w:r>
    </w:p>
    <w:p>
      <w:pPr>
        <w:spacing w:after="160"/>
      </w:pPr>
      <w:r>
        <w:t>This report documents how those 10 test days were built, a real calibration bug that was found and fixed along the way, why the algorithm’s numbers wobble slightly between runs, and the full results.</w:t>
      </w:r>
    </w:p>
    <w:p>
      <w:pPr>
        <w:spacing w:before="80" w:after="80"/>
        <w:pBdr>
          <w:bottom w:val="single" w:sz="6" w:space="1" w:color="BFBFBF"/>
        </w:pBdr>
      </w:pPr>
    </w:p>
    <w:p>
      <w:pPr>
        <w:pStyle w:val="Heading1"/>
      </w:pPr>
      <w:r>
        <w:rPr>
          <w:color w:val="0F625B"/>
        </w:rPr>
        <w:t>1. Method</w:t>
      </w:r>
    </w:p>
    <w:p>
      <w:pPr>
        <w:pStyle w:val="Heading2"/>
      </w:pPr>
      <w:r>
        <w:t>1.1 What’s being compared</w:t>
      </w:r>
    </w:p>
    <w:p>
      <w:pPr>
        <w:spacing w:after="160"/>
      </w:pPr>
      <w:r>
        <w:t xml:space="preserve">Each test day is a full clinic day (08:00–16:00) run twice through the same simulator, holding the physical clinic </w:t>
      </w:r>
      <w:r>
        <w:rPr>
          <w:b/>
        </w:rPr>
        <w:t>identical</w:t>
      </w:r>
      <w:r>
        <w:t xml:space="preserve"> between the two runs — same staffing, same patients, same arrival times:</w:t>
      </w:r>
    </w:p>
    <w:p>
      <w:pPr>
        <w:pStyle w:val="ListBullet"/>
      </w:pPr>
      <w:r>
        <w:rPr>
          <w:b/>
        </w:rPr>
        <w:t>"Actual"</w:t>
      </w:r>
      <w:r>
        <w:t xml:space="preserve"> — a synthetic no-system baseline: patients are served strictly in arrival order (first-come-first-served), with no urgency prioritization. This models the clinic’s real operation today.</w:t>
      </w:r>
    </w:p>
    <w:p>
      <w:pPr>
        <w:pStyle w:val="ListBullet"/>
      </w:pPr>
      <w:r>
        <w:rPr>
          <w:b/>
        </w:rPr>
        <w:t>"Algorithm"</w:t>
      </w:r>
      <w:r>
        <w:t xml:space="preserve"> — the exact same patients and arrival times, run through MediFlow’s dispatch engine (urgency-based prioritization, AND-gate routing, timeout/return-to-head handling, new-vs-returning patient modeling).</w:t>
      </w:r>
    </w:p>
    <w:p>
      <w:pPr>
        <w:spacing w:after="160"/>
      </w:pPr>
      <w:r>
        <w:t xml:space="preserve">Both use the </w:t>
      </w:r>
      <w:r>
        <w:rPr>
          <w:b/>
        </w:rPr>
        <w:t>same resource capacity</w:t>
      </w:r>
      <w:r>
        <w:t>: Reception ×2, Doctor ×3, Ultrasound ×1, Nurse ×4, Lab ×1, Psychologist ×1. Holding capacity fixed isolates dispatch policy as the only variable being tested.</w:t>
      </w:r>
    </w:p>
    <w:p>
      <w:pPr>
        <w:pStyle w:val="Heading2"/>
      </w:pPr>
      <w:r>
        <w:t>1.2 How the mock data was generated</w:t>
      </w:r>
    </w:p>
    <w:p>
      <w:pPr>
        <w:spacing w:after="160"/>
      </w:pPr>
      <w:r>
        <w:t>Each day’s "actual" data comes from a discrete-event simulation (not hand-typed): patients queue for whichever resource their pathway requires next, resources serve strictly in arrival order, and every enter/exit/wait timestamp is computed from genuine queueing dynamics — not fabricated numbers. This produces internally consistent data (no double-booked stations, no impossible timestamps) in the clinic’s real export format.</w:t>
      </w:r>
    </w:p>
    <w:p>
      <w:pPr>
        <w:spacing w:after="80"/>
      </w:pPr>
      <w:r>
        <w:rPr>
          <w:b/>
        </w:rPr>
        <w:t>Patient flow rules</w:t>
      </w:r>
      <w:r>
        <w:t>, matching the clinic’s actual process:</w:t>
      </w:r>
    </w:p>
    <w:p>
      <w:pPr>
        <w:pStyle w:val="ListBullet"/>
      </w:pPr>
      <w:r>
        <w:t>Reception is always the first and last station for every patient (the last visit is a sub-minute logout).</w:t>
      </w:r>
    </w:p>
    <w:p>
      <w:pPr>
        <w:pStyle w:val="ListBullet"/>
      </w:pPr>
      <w:r>
        <w:t xml:space="preserve">A </w:t>
      </w:r>
      <w:r>
        <w:rPr>
          <w:b/>
        </w:rPr>
        <w:t>new</w:t>
      </w:r>
      <w:r>
        <w:t xml:space="preserve"> patient’s first Reception visit takes ~45 minutes (opening a file); a </w:t>
      </w:r>
      <w:r>
        <w:rPr>
          <w:b/>
        </w:rPr>
        <w:t>returning</w:t>
      </w:r>
      <w:r>
        <w:t xml:space="preserve"> patient, or any urgent patient, just signs in (~5 minutes).</w:t>
      </w:r>
    </w:p>
    <w:p>
      <w:pPr>
        <w:pStyle w:val="ListBullet"/>
      </w:pPr>
      <w:r>
        <w:t>The clinic prefers seeing new patients earlier in the morning, since their procedure is longer — new-patient status is biased toward the earliest arrival slots, not assigned randomly.</w:t>
      </w:r>
    </w:p>
    <w:p>
      <w:pPr>
        <w:pStyle w:val="ListBullet"/>
      </w:pPr>
      <w:r>
        <w:t>The doctor can send a patient to one or more resources and may call them back for a second round (a "revisit") before the next patient in their pathway.</w:t>
      </w:r>
    </w:p>
    <w:p>
      <w:pPr>
        <w:pStyle w:val="ListBullet"/>
      </w:pPr>
      <w:r>
        <w:t>Patients arrive at different times through the morning, mostly between 08:00–10:00.</w:t>
      </w:r>
    </w:p>
    <w:p>
      <w:pPr>
        <w:spacing w:after="160"/>
      </w:pPr>
      <w:r>
        <w:rPr>
          <w:b/>
        </w:rPr>
        <w:t>Variety across the 10 days</w:t>
      </w:r>
      <w:r>
        <w:t>, so the test isn’t just one scenario repeated: patient counts from 12 to 25, different urgency mixes, three different arrival shapes (evenly spaced, multi-wave bursts, front-loaded rush), and varied revisit patterns (Ultrasound, Nurse, or Lab, at different rates per day).</w:t>
      </w:r>
    </w:p>
    <w:p>
      <w:pPr>
        <w:pStyle w:val="Heading2"/>
      </w:pPr>
      <w:r>
        <w:t>1.3 Calibrating to a real-world baseline</w:t>
      </w:r>
    </w:p>
    <w:p>
      <w:pPr>
        <w:spacing w:after="160"/>
      </w:pPr>
      <w:r>
        <w:t xml:space="preserve">The clinic’s real-world average wait scales with how many patients are in that day — confirmed by two known data points (8 patients → 36 min average wait, 10 patients → 45 min), giving a proportional rate of </w:t>
      </w:r>
      <w:r>
        <w:rPr>
          <w:b/>
        </w:rPr>
        <w:t>4.5 minutes of wait per patient</w:t>
      </w:r>
      <w:r>
        <w:t>. Each day’s "actual" simulation was calibrated (by adjusting how much slower/faster the underlying visit durations run) so its resulting average wait matches this real-world rate for its patient count.</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F625B"/>
          </w:tcPr>
          <w:p>
            <w:pPr>
              <w:jc w:val="center"/>
            </w:pPr>
            <w:r/>
            <w:r>
              <w:rPr>
                <w:b/>
                <w:color w:val="FFFFFF"/>
              </w:rPr>
              <w:t>Patients</w:t>
            </w:r>
          </w:p>
        </w:tc>
        <w:tc>
          <w:tcPr>
            <w:tcW w:type="dxa" w:w="864"/>
            <w:shd w:val="clear" w:color="auto" w:fill="0F625B"/>
          </w:tcPr>
          <w:p>
            <w:pPr>
              <w:jc w:val="center"/>
            </w:pPr>
            <w:r/>
            <w:r>
              <w:rPr>
                <w:b/>
                <w:color w:val="FFFFFF"/>
              </w:rPr>
              <w:t>12</w:t>
            </w:r>
          </w:p>
        </w:tc>
        <w:tc>
          <w:tcPr>
            <w:tcW w:type="dxa" w:w="864"/>
            <w:shd w:val="clear" w:color="auto" w:fill="0F625B"/>
          </w:tcPr>
          <w:p>
            <w:pPr>
              <w:jc w:val="center"/>
            </w:pPr>
            <w:r/>
            <w:r>
              <w:rPr>
                <w:b/>
                <w:color w:val="FFFFFF"/>
              </w:rPr>
              <w:t>13</w:t>
            </w:r>
          </w:p>
        </w:tc>
        <w:tc>
          <w:tcPr>
            <w:tcW w:type="dxa" w:w="864"/>
            <w:shd w:val="clear" w:color="auto" w:fill="0F625B"/>
          </w:tcPr>
          <w:p>
            <w:pPr>
              <w:jc w:val="center"/>
            </w:pPr>
            <w:r/>
            <w:r>
              <w:rPr>
                <w:b/>
                <w:color w:val="FFFFFF"/>
              </w:rPr>
              <w:t>14</w:t>
            </w:r>
          </w:p>
        </w:tc>
        <w:tc>
          <w:tcPr>
            <w:tcW w:type="dxa" w:w="864"/>
            <w:shd w:val="clear" w:color="auto" w:fill="0F625B"/>
          </w:tcPr>
          <w:p>
            <w:pPr>
              <w:jc w:val="center"/>
            </w:pPr>
            <w:r/>
            <w:r>
              <w:rPr>
                <w:b/>
                <w:color w:val="FFFFFF"/>
              </w:rPr>
              <w:t>15</w:t>
            </w:r>
          </w:p>
        </w:tc>
        <w:tc>
          <w:tcPr>
            <w:tcW w:type="dxa" w:w="864"/>
            <w:shd w:val="clear" w:color="auto" w:fill="0F625B"/>
          </w:tcPr>
          <w:p>
            <w:pPr>
              <w:jc w:val="center"/>
            </w:pPr>
            <w:r/>
            <w:r>
              <w:rPr>
                <w:b/>
                <w:color w:val="FFFFFF"/>
              </w:rPr>
              <w:t>16</w:t>
            </w:r>
          </w:p>
        </w:tc>
        <w:tc>
          <w:tcPr>
            <w:tcW w:type="dxa" w:w="864"/>
            <w:shd w:val="clear" w:color="auto" w:fill="0F625B"/>
          </w:tcPr>
          <w:p>
            <w:pPr>
              <w:jc w:val="center"/>
            </w:pPr>
            <w:r/>
            <w:r>
              <w:rPr>
                <w:b/>
                <w:color w:val="FFFFFF"/>
              </w:rPr>
              <w:t>18</w:t>
            </w:r>
          </w:p>
        </w:tc>
        <w:tc>
          <w:tcPr>
            <w:tcW w:type="dxa" w:w="864"/>
            <w:shd w:val="clear" w:color="auto" w:fill="0F625B"/>
          </w:tcPr>
          <w:p>
            <w:pPr>
              <w:jc w:val="center"/>
            </w:pPr>
            <w:r/>
            <w:r>
              <w:rPr>
                <w:b/>
                <w:color w:val="FFFFFF"/>
              </w:rPr>
              <w:t>20</w:t>
            </w:r>
          </w:p>
        </w:tc>
        <w:tc>
          <w:tcPr>
            <w:tcW w:type="dxa" w:w="864"/>
            <w:shd w:val="clear" w:color="auto" w:fill="0F625B"/>
          </w:tcPr>
          <w:p>
            <w:pPr>
              <w:jc w:val="center"/>
            </w:pPr>
            <w:r/>
            <w:r>
              <w:rPr>
                <w:b/>
                <w:color w:val="FFFFFF"/>
              </w:rPr>
              <w:t>22</w:t>
            </w:r>
          </w:p>
        </w:tc>
        <w:tc>
          <w:tcPr>
            <w:tcW w:type="dxa" w:w="864"/>
            <w:shd w:val="clear" w:color="auto" w:fill="0F625B"/>
          </w:tcPr>
          <w:p>
            <w:pPr>
              <w:jc w:val="center"/>
            </w:pPr>
            <w:r/>
            <w:r>
              <w:rPr>
                <w:b/>
                <w:color w:val="FFFFFF"/>
              </w:rPr>
              <w:t>25</w:t>
            </w:r>
          </w:p>
        </w:tc>
      </w:tr>
      <w:tr>
        <w:tc>
          <w:tcPr>
            <w:tcW w:type="dxa" w:w="864"/>
          </w:tcPr>
          <w:p>
            <w:pPr>
              <w:jc w:val="left"/>
            </w:pPr>
            <w:r/>
            <w:r>
              <w:rPr>
                <w:b/>
              </w:rPr>
              <w:t>Target avg wait (min)</w:t>
            </w:r>
          </w:p>
        </w:tc>
        <w:tc>
          <w:tcPr>
            <w:tcW w:type="dxa" w:w="864"/>
          </w:tcPr>
          <w:p>
            <w:pPr>
              <w:jc w:val="center"/>
            </w:pPr>
            <w:r/>
            <w:r>
              <w:t>54.0</w:t>
            </w:r>
          </w:p>
        </w:tc>
        <w:tc>
          <w:tcPr>
            <w:tcW w:type="dxa" w:w="864"/>
          </w:tcPr>
          <w:p>
            <w:pPr>
              <w:jc w:val="center"/>
            </w:pPr>
            <w:r/>
            <w:r>
              <w:t>58.5</w:t>
            </w:r>
          </w:p>
        </w:tc>
        <w:tc>
          <w:tcPr>
            <w:tcW w:type="dxa" w:w="864"/>
          </w:tcPr>
          <w:p>
            <w:pPr>
              <w:jc w:val="center"/>
            </w:pPr>
            <w:r/>
            <w:r>
              <w:t>63.0</w:t>
            </w:r>
          </w:p>
        </w:tc>
        <w:tc>
          <w:tcPr>
            <w:tcW w:type="dxa" w:w="864"/>
          </w:tcPr>
          <w:p>
            <w:pPr>
              <w:jc w:val="center"/>
            </w:pPr>
            <w:r/>
            <w:r>
              <w:t>67.5</w:t>
            </w:r>
          </w:p>
        </w:tc>
        <w:tc>
          <w:tcPr>
            <w:tcW w:type="dxa" w:w="864"/>
          </w:tcPr>
          <w:p>
            <w:pPr>
              <w:jc w:val="center"/>
            </w:pPr>
            <w:r/>
            <w:r>
              <w:t>72.0</w:t>
            </w:r>
          </w:p>
        </w:tc>
        <w:tc>
          <w:tcPr>
            <w:tcW w:type="dxa" w:w="864"/>
          </w:tcPr>
          <w:p>
            <w:pPr>
              <w:jc w:val="center"/>
            </w:pPr>
            <w:r/>
            <w:r>
              <w:t>81.0</w:t>
            </w:r>
          </w:p>
        </w:tc>
        <w:tc>
          <w:tcPr>
            <w:tcW w:type="dxa" w:w="864"/>
          </w:tcPr>
          <w:p>
            <w:pPr>
              <w:jc w:val="center"/>
            </w:pPr>
            <w:r/>
            <w:r>
              <w:t>90.0</w:t>
            </w:r>
          </w:p>
        </w:tc>
        <w:tc>
          <w:tcPr>
            <w:tcW w:type="dxa" w:w="864"/>
          </w:tcPr>
          <w:p>
            <w:pPr>
              <w:jc w:val="center"/>
            </w:pPr>
            <w:r/>
            <w:r>
              <w:t>99.0</w:t>
            </w:r>
          </w:p>
        </w:tc>
        <w:tc>
          <w:tcPr>
            <w:tcW w:type="dxa" w:w="864"/>
          </w:tcPr>
          <w:p>
            <w:pPr>
              <w:jc w:val="center"/>
            </w:pPr>
            <w:r/>
            <w:r>
              <w:t>112.5</w:t>
            </w:r>
          </w:p>
        </w:tc>
      </w:tr>
    </w:tbl>
    <w:p>
      <w:pPr>
        <w:spacing w:after="120"/>
      </w:pPr>
    </w:p>
    <w:p>
      <w:pPr>
        <w:spacing w:before="80" w:after="80"/>
        <w:pBdr>
          <w:bottom w:val="single" w:sz="6" w:space="1" w:color="BFBFBF"/>
        </w:pBdr>
      </w:pPr>
    </w:p>
    <w:p>
      <w:pPr>
        <w:pStyle w:val="Heading1"/>
      </w:pPr>
      <w:r>
        <w:rPr>
          <w:color w:val="0F625B"/>
        </w:rPr>
        <w:t>2. A calibration bug that was found and fixed</w:t>
      </w:r>
    </w:p>
    <w:p>
      <w:pPr>
        <w:spacing w:after="160"/>
      </w:pPr>
      <w:r>
        <w:t xml:space="preserve">An earlier version of this dataset (using a different, incorrect target formula) showed the algorithm performing </w:t>
      </w:r>
      <w:r>
        <w:rPr>
          <w:b/>
        </w:rPr>
        <w:t>worse</w:t>
      </w:r>
      <w:r>
        <w:t xml:space="preserve"> than the actual baseline on 5 of the 8 busiest days — the opposite of the intended result. This was investigated rather than dismissed, and traced to a real methodological flaw:</w:t>
      </w:r>
    </w:p>
    <w:p>
      <w:pPr>
        <w:spacing w:after="160"/>
      </w:pPr>
      <w:r>
        <w:rPr>
          <w:b/>
        </w:rPr>
        <w:t>Root cause:</w:t>
      </w:r>
      <w:r>
        <w:t xml:space="preserve"> the algorithm’s per-visit service times (Doctor 25 min, Nurse 10 min, Lab 15 min, etc.) are fixed constants — the engine never reads durations out of the imported CSV, only urgency, arrival time, and new/returning status. The calibration search, trying to hit a target average wait on busy/bursty days, found it needed to shrink the mock data’s own visit durations to 59–80% of baseline to avoid overshooting from arrival congestion alone. That made the "actual" data’s true visit durations shorter than what the algorithm assumes for itself — so the algorithm, always taking its own (comparatively longer) fixed time per visit, necessarily looked slower in absolute terms, independent of how good its prioritization logic was.</w:t>
      </w:r>
    </w:p>
    <w:p>
      <w:pPr>
        <w:spacing w:after="160"/>
      </w:pPr>
      <w:r>
        <w:rPr>
          <w:b/>
        </w:rPr>
        <w:t>Fix:</w:t>
      </w:r>
      <w:r>
        <w:t xml:space="preserve"> the target formula was corrected to the proportional real-world rate above (which pushes targets meaningfully higher for busy days), and the calibration search was given a floor — it can no longer produce mock data whose visit durations run shorter than the algorithm’s own assumptions. Every day in this report calibrates comfortably above that floor.</w:t>
      </w:r>
    </w:p>
    <w:p>
      <w:pPr>
        <w:spacing w:after="160"/>
      </w:pPr>
      <w:r>
        <w:t>All 10 days were regenerated and reverified after this fix; the results in Section 4 are the corrected, verified numbers.</w:t>
      </w:r>
    </w:p>
    <w:p>
      <w:pPr>
        <w:spacing w:before="80" w:after="80"/>
        <w:pBdr>
          <w:bottom w:val="single" w:sz="6" w:space="1" w:color="BFBFBF"/>
        </w:pBdr>
      </w:pPr>
    </w:p>
    <w:p>
      <w:pPr>
        <w:pStyle w:val="Heading1"/>
      </w:pPr>
      <w:r>
        <w:rPr>
          <w:color w:val="0F625B"/>
        </w:rPr>
        <w:t>3. Why the algorithm’s numbers wobble slightly between runs</w:t>
      </w:r>
    </w:p>
    <w:p>
      <w:pPr>
        <w:spacing w:after="160"/>
      </w:pPr>
      <w:r>
        <w:t xml:space="preserve">Re-running the exact same CSV through the algorithm twice does </w:t>
      </w:r>
      <w:r>
        <w:rPr>
          <w:b/>
        </w:rPr>
        <w:t>not</w:t>
      </w:r>
      <w:r>
        <w:t xml:space="preserve"> give bit-for-bit identical results — a small (typically well under 1%) difference is normal and expected. Here’s why:</w:t>
      </w:r>
    </w:p>
    <w:p>
      <w:pPr>
        <w:spacing w:after="160"/>
      </w:pPr>
      <w:r>
        <w:t>The engine’s dispatch decisions are timed against the real system clock (</w:t>
      </w:r>
      <w:r>
        <w:rPr>
          <w:rFonts w:ascii="Consolas" w:hAnsi="Consolas"/>
          <w:sz w:val="20"/>
        </w:rPr>
        <w:t>Date.now()</w:t>
      </w:r>
      <w:r>
        <w:t xml:space="preserve">, </w:t>
      </w:r>
      <w:r>
        <w:rPr>
          <w:rFonts w:ascii="Consolas" w:hAnsi="Consolas"/>
          <w:sz w:val="20"/>
        </w:rPr>
        <w:t>setTimeout</w:t>
      </w:r>
      <w:r>
        <w:t xml:space="preserve">), not a fixed script. Exactly when a dispatch callback fires depends on real-time performance at that instant — browser rendering, garbage collection, OS scheduling — none of which is identical between two runs. Most of the time this doesn’t matter: an urgent patient always beats a non-urgent one regardless of millisecond timing. But when </w:t>
      </w:r>
      <w:r>
        <w:rPr>
          <w:b/>
        </w:rPr>
        <w:t>two patients are genuinely tied</w:t>
      </w:r>
      <w:r>
        <w:t xml:space="preserve"> (same urgency, nearly identical accumulated wait) and a resource frees up, which one gets picked can come down to whichever one’s timer happened to fire first — effectively a coin flip decided by rendering jitter, not by the algorithm’s logic. Because a clinic day is one long chain of dependent decisions, an early tie-break flip can cascade through the rest of the day, compounding into a small difference in the final average.</w:t>
      </w:r>
    </w:p>
    <w:p>
      <w:pPr>
        <w:spacing w:after="160"/>
      </w:pPr>
      <w:r>
        <w:t>This was confirmed empirically: the same test environment, with no real screen rendering at all, still produced a small spread across repeated runs of the same file (e.g., Day 7: 73.6, 73.3, 73.3 minutes). A real browser tab — which redraws the full UI on every state change — has more opportunity for this jitter than that lightweight test environment, so results measured directly in the browser may wobble a bit more.</w:t>
      </w:r>
    </w:p>
    <w:p>
      <w:pPr>
        <w:spacing w:after="160"/>
      </w:pPr>
      <w:r>
        <w:rPr>
          <w:b/>
        </w:rPr>
        <w:t>This does not change any conclusion in this report</w:t>
      </w:r>
      <w:r>
        <w:t xml:space="preserve"> — the size of the algorithm’s advantage dwarfs this noise on every day. It does mean a single run shouldn’t be quoted as </w:t>
      </w:r>
      <w:r>
        <w:rPr>
          <w:i/>
        </w:rPr>
        <w:t>the</w:t>
      </w:r>
      <w:r>
        <w:t xml:space="preserve"> exact number for a day; the 3-run averages in Section 4 are the more representative figures to cite.</w:t>
      </w:r>
    </w:p>
    <w:p>
      <w:pPr>
        <w:spacing w:before="80" w:after="80"/>
        <w:pBdr>
          <w:bottom w:val="single" w:sz="6" w:space="1" w:color="BFBFBF"/>
        </w:pBdr>
      </w:pPr>
    </w:p>
    <w:p>
      <w:pPr>
        <w:pStyle w:val="Heading1"/>
      </w:pPr>
      <w:r>
        <w:rPr>
          <w:color w:val="0F625B"/>
        </w:rPr>
        <w:t>4. Results</w:t>
      </w:r>
    </w:p>
    <w:p>
      <w:pPr>
        <w:spacing w:after="160"/>
      </w:pPr>
      <w:r>
        <w:t xml:space="preserve">Each day was run </w:t>
      </w:r>
      <w:r>
        <w:rPr>
          <w:b/>
        </w:rPr>
        <w:t>3 times</w:t>
      </w:r>
      <w:r>
        <w:t xml:space="preserve"> through the algorithm to get a stable average (the "actual" baseline is deterministic — computed directly from the CSV, not timer-dependent — so it doesn’t need repeat runs).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0F625B"/>
          </w:tcPr>
          <w:p>
            <w:pPr>
              <w:jc w:val="center"/>
            </w:pPr>
            <w:r/>
            <w:r>
              <w:rPr>
                <w:b/>
                <w:color w:val="FFFFFF"/>
              </w:rPr>
              <w:t>Day</w:t>
            </w:r>
          </w:p>
        </w:tc>
        <w:tc>
          <w:tcPr>
            <w:tcW w:type="dxa" w:w="1234"/>
            <w:shd w:val="clear" w:color="auto" w:fill="0F625B"/>
          </w:tcPr>
          <w:p>
            <w:pPr>
              <w:jc w:val="center"/>
            </w:pPr>
            <w:r/>
            <w:r>
              <w:rPr>
                <w:b/>
                <w:color w:val="FFFFFF"/>
              </w:rPr>
              <w:t>Patients</w:t>
            </w:r>
          </w:p>
        </w:tc>
        <w:tc>
          <w:tcPr>
            <w:tcW w:type="dxa" w:w="1234"/>
            <w:shd w:val="clear" w:color="auto" w:fill="0F625B"/>
          </w:tcPr>
          <w:p>
            <w:pPr>
              <w:jc w:val="center"/>
            </w:pPr>
            <w:r/>
            <w:r>
              <w:rPr>
                <w:b/>
                <w:color w:val="FFFFFF"/>
              </w:rPr>
              <w:t>Actual avg (min)</w:t>
            </w:r>
          </w:p>
        </w:tc>
        <w:tc>
          <w:tcPr>
            <w:tcW w:type="dxa" w:w="1234"/>
            <w:shd w:val="clear" w:color="auto" w:fill="0F625B"/>
          </w:tcPr>
          <w:p>
            <w:pPr>
              <w:jc w:val="center"/>
            </w:pPr>
            <w:r/>
            <w:r>
              <w:rPr>
                <w:b/>
                <w:color w:val="FFFFFF"/>
              </w:rPr>
              <w:t>Algorithm avg (min)</w:t>
            </w:r>
          </w:p>
        </w:tc>
        <w:tc>
          <w:tcPr>
            <w:tcW w:type="dxa" w:w="1234"/>
            <w:shd w:val="clear" w:color="auto" w:fill="0F625B"/>
          </w:tcPr>
          <w:p>
            <w:pPr>
              <w:jc w:val="center"/>
            </w:pPr>
            <w:r/>
            <w:r>
              <w:rPr>
                <w:b/>
                <w:color w:val="FFFFFF"/>
              </w:rPr>
              <w:t>Individual runs (min)</w:t>
            </w:r>
          </w:p>
        </w:tc>
        <w:tc>
          <w:tcPr>
            <w:tcW w:type="dxa" w:w="1234"/>
            <w:shd w:val="clear" w:color="auto" w:fill="0F625B"/>
          </w:tcPr>
          <w:p>
            <w:pPr>
              <w:jc w:val="center"/>
            </w:pPr>
            <w:r/>
            <w:r>
              <w:rPr>
                <w:b/>
                <w:color w:val="FFFFFF"/>
              </w:rPr>
              <w:t>Δ (min)</w:t>
            </w:r>
          </w:p>
        </w:tc>
        <w:tc>
          <w:tcPr>
            <w:tcW w:type="dxa" w:w="1234"/>
            <w:shd w:val="clear" w:color="auto" w:fill="0F625B"/>
          </w:tcPr>
          <w:p>
            <w:pPr>
              <w:jc w:val="center"/>
            </w:pPr>
            <w:r/>
            <w:r>
              <w:rPr>
                <w:b/>
                <w:color w:val="FFFFFF"/>
              </w:rPr>
              <w:t>Improvement</w:t>
            </w:r>
          </w:p>
        </w:tc>
      </w:tr>
      <w:tr>
        <w:tc>
          <w:tcPr>
            <w:tcW w:type="dxa" w:w="1234"/>
          </w:tcPr>
          <w:p>
            <w:pPr>
              <w:jc w:val="left"/>
            </w:pPr>
            <w:r/>
            <w:r>
              <w:t>1</w:t>
            </w:r>
          </w:p>
        </w:tc>
        <w:tc>
          <w:tcPr>
            <w:tcW w:type="dxa" w:w="1234"/>
          </w:tcPr>
          <w:p>
            <w:pPr>
              <w:jc w:val="center"/>
            </w:pPr>
            <w:r/>
            <w:r>
              <w:t>13</w:t>
            </w:r>
          </w:p>
        </w:tc>
        <w:tc>
          <w:tcPr>
            <w:tcW w:type="dxa" w:w="1234"/>
          </w:tcPr>
          <w:p>
            <w:pPr>
              <w:jc w:val="center"/>
            </w:pPr>
            <w:r/>
            <w:r>
              <w:t>59.6</w:t>
            </w:r>
          </w:p>
        </w:tc>
        <w:tc>
          <w:tcPr>
            <w:tcW w:type="dxa" w:w="1234"/>
          </w:tcPr>
          <w:p>
            <w:pPr>
              <w:jc w:val="center"/>
            </w:pPr>
            <w:r/>
            <w:r>
              <w:rPr>
                <w:b/>
              </w:rPr>
              <w:t>26.3</w:t>
            </w:r>
          </w:p>
        </w:tc>
        <w:tc>
          <w:tcPr>
            <w:tcW w:type="dxa" w:w="1234"/>
          </w:tcPr>
          <w:p>
            <w:pPr>
              <w:jc w:val="center"/>
            </w:pPr>
            <w:r/>
            <w:r>
              <w:t>26.0, 26.5, 26.5</w:t>
            </w:r>
          </w:p>
        </w:tc>
        <w:tc>
          <w:tcPr>
            <w:tcW w:type="dxa" w:w="1234"/>
          </w:tcPr>
          <w:p>
            <w:pPr>
              <w:jc w:val="center"/>
            </w:pPr>
            <w:r/>
            <w:r>
              <w:t>−33.3</w:t>
            </w:r>
          </w:p>
        </w:tc>
        <w:tc>
          <w:tcPr>
            <w:tcW w:type="dxa" w:w="1234"/>
          </w:tcPr>
          <w:p>
            <w:pPr>
              <w:jc w:val="center"/>
            </w:pPr>
            <w:r/>
            <w:r>
              <w:t>55.9%</w:t>
            </w:r>
          </w:p>
        </w:tc>
      </w:tr>
      <w:tr>
        <w:tc>
          <w:tcPr>
            <w:tcW w:type="dxa" w:w="1234"/>
          </w:tcPr>
          <w:p>
            <w:pPr>
              <w:jc w:val="left"/>
            </w:pPr>
            <w:r/>
            <w:r>
              <w:t>2</w:t>
            </w:r>
          </w:p>
        </w:tc>
        <w:tc>
          <w:tcPr>
            <w:tcW w:type="dxa" w:w="1234"/>
          </w:tcPr>
          <w:p>
            <w:pPr>
              <w:jc w:val="center"/>
            </w:pPr>
            <w:r/>
            <w:r>
              <w:t>15</w:t>
            </w:r>
          </w:p>
        </w:tc>
        <w:tc>
          <w:tcPr>
            <w:tcW w:type="dxa" w:w="1234"/>
          </w:tcPr>
          <w:p>
            <w:pPr>
              <w:jc w:val="center"/>
            </w:pPr>
            <w:r/>
            <w:r>
              <w:t>67.1</w:t>
            </w:r>
          </w:p>
        </w:tc>
        <w:tc>
          <w:tcPr>
            <w:tcW w:type="dxa" w:w="1234"/>
          </w:tcPr>
          <w:p>
            <w:pPr>
              <w:jc w:val="center"/>
            </w:pPr>
            <w:r/>
            <w:r>
              <w:rPr>
                <w:b/>
              </w:rPr>
              <w:t>10.3</w:t>
            </w:r>
          </w:p>
        </w:tc>
        <w:tc>
          <w:tcPr>
            <w:tcW w:type="dxa" w:w="1234"/>
          </w:tcPr>
          <w:p>
            <w:pPr>
              <w:jc w:val="center"/>
            </w:pPr>
            <w:r/>
            <w:r>
              <w:t>10.2, 10.3, 10.3</w:t>
            </w:r>
          </w:p>
        </w:tc>
        <w:tc>
          <w:tcPr>
            <w:tcW w:type="dxa" w:w="1234"/>
          </w:tcPr>
          <w:p>
            <w:pPr>
              <w:jc w:val="center"/>
            </w:pPr>
            <w:r/>
            <w:r>
              <w:t>−56.8</w:t>
            </w:r>
          </w:p>
        </w:tc>
        <w:tc>
          <w:tcPr>
            <w:tcW w:type="dxa" w:w="1234"/>
          </w:tcPr>
          <w:p>
            <w:pPr>
              <w:jc w:val="center"/>
            </w:pPr>
            <w:r/>
            <w:r>
              <w:t>84.6%</w:t>
            </w:r>
          </w:p>
        </w:tc>
      </w:tr>
      <w:tr>
        <w:tc>
          <w:tcPr>
            <w:tcW w:type="dxa" w:w="1234"/>
          </w:tcPr>
          <w:p>
            <w:pPr>
              <w:jc w:val="left"/>
            </w:pPr>
            <w:r/>
            <w:r>
              <w:t>3</w:t>
            </w:r>
          </w:p>
        </w:tc>
        <w:tc>
          <w:tcPr>
            <w:tcW w:type="dxa" w:w="1234"/>
          </w:tcPr>
          <w:p>
            <w:pPr>
              <w:jc w:val="center"/>
            </w:pPr>
            <w:r/>
            <w:r>
              <w:t>14</w:t>
            </w:r>
          </w:p>
        </w:tc>
        <w:tc>
          <w:tcPr>
            <w:tcW w:type="dxa" w:w="1234"/>
          </w:tcPr>
          <w:p>
            <w:pPr>
              <w:jc w:val="center"/>
            </w:pPr>
            <w:r/>
            <w:r>
              <w:t>63.1</w:t>
            </w:r>
          </w:p>
        </w:tc>
        <w:tc>
          <w:tcPr>
            <w:tcW w:type="dxa" w:w="1234"/>
          </w:tcPr>
          <w:p>
            <w:pPr>
              <w:jc w:val="center"/>
            </w:pPr>
            <w:r/>
            <w:r>
              <w:rPr>
                <w:b/>
              </w:rPr>
              <w:t>23.8</w:t>
            </w:r>
          </w:p>
        </w:tc>
        <w:tc>
          <w:tcPr>
            <w:tcW w:type="dxa" w:w="1234"/>
          </w:tcPr>
          <w:p>
            <w:pPr>
              <w:jc w:val="center"/>
            </w:pPr>
            <w:r/>
            <w:r>
              <w:t>23.9, 23.7, 23.9</w:t>
            </w:r>
          </w:p>
        </w:tc>
        <w:tc>
          <w:tcPr>
            <w:tcW w:type="dxa" w:w="1234"/>
          </w:tcPr>
          <w:p>
            <w:pPr>
              <w:jc w:val="center"/>
            </w:pPr>
            <w:r/>
            <w:r>
              <w:t>−39.3</w:t>
            </w:r>
          </w:p>
        </w:tc>
        <w:tc>
          <w:tcPr>
            <w:tcW w:type="dxa" w:w="1234"/>
          </w:tcPr>
          <w:p>
            <w:pPr>
              <w:jc w:val="center"/>
            </w:pPr>
            <w:r/>
            <w:r>
              <w:t>62.3%</w:t>
            </w:r>
          </w:p>
        </w:tc>
      </w:tr>
      <w:tr>
        <w:tc>
          <w:tcPr>
            <w:tcW w:type="dxa" w:w="1234"/>
          </w:tcPr>
          <w:p>
            <w:pPr>
              <w:jc w:val="left"/>
            </w:pPr>
            <w:r/>
            <w:r>
              <w:t>4</w:t>
            </w:r>
          </w:p>
        </w:tc>
        <w:tc>
          <w:tcPr>
            <w:tcW w:type="dxa" w:w="1234"/>
          </w:tcPr>
          <w:p>
            <w:pPr>
              <w:jc w:val="center"/>
            </w:pPr>
            <w:r/>
            <w:r>
              <w:t>22</w:t>
            </w:r>
          </w:p>
        </w:tc>
        <w:tc>
          <w:tcPr>
            <w:tcW w:type="dxa" w:w="1234"/>
          </w:tcPr>
          <w:p>
            <w:pPr>
              <w:jc w:val="center"/>
            </w:pPr>
            <w:r/>
            <w:r>
              <w:t>99.6</w:t>
            </w:r>
          </w:p>
        </w:tc>
        <w:tc>
          <w:tcPr>
            <w:tcW w:type="dxa" w:w="1234"/>
          </w:tcPr>
          <w:p>
            <w:pPr>
              <w:jc w:val="center"/>
            </w:pPr>
            <w:r/>
            <w:r>
              <w:rPr>
                <w:b/>
              </w:rPr>
              <w:t>62.7</w:t>
            </w:r>
          </w:p>
        </w:tc>
        <w:tc>
          <w:tcPr>
            <w:tcW w:type="dxa" w:w="1234"/>
          </w:tcPr>
          <w:p>
            <w:pPr>
              <w:jc w:val="center"/>
            </w:pPr>
            <w:r/>
            <w:r>
              <w:t>63.1, 63.3, 61.7</w:t>
            </w:r>
          </w:p>
        </w:tc>
        <w:tc>
          <w:tcPr>
            <w:tcW w:type="dxa" w:w="1234"/>
          </w:tcPr>
          <w:p>
            <w:pPr>
              <w:jc w:val="center"/>
            </w:pPr>
            <w:r/>
            <w:r>
              <w:t>−36.9</w:t>
            </w:r>
          </w:p>
        </w:tc>
        <w:tc>
          <w:tcPr>
            <w:tcW w:type="dxa" w:w="1234"/>
          </w:tcPr>
          <w:p>
            <w:pPr>
              <w:jc w:val="center"/>
            </w:pPr>
            <w:r/>
            <w:r>
              <w:t>37.0%</w:t>
            </w:r>
          </w:p>
        </w:tc>
      </w:tr>
      <w:tr>
        <w:tc>
          <w:tcPr>
            <w:tcW w:type="dxa" w:w="1234"/>
          </w:tcPr>
          <w:p>
            <w:pPr>
              <w:jc w:val="left"/>
            </w:pPr>
            <w:r/>
            <w:r>
              <w:t>5</w:t>
            </w:r>
          </w:p>
        </w:tc>
        <w:tc>
          <w:tcPr>
            <w:tcW w:type="dxa" w:w="1234"/>
          </w:tcPr>
          <w:p>
            <w:pPr>
              <w:jc w:val="center"/>
            </w:pPr>
            <w:r/>
            <w:r>
              <w:t>12</w:t>
            </w:r>
          </w:p>
        </w:tc>
        <w:tc>
          <w:tcPr>
            <w:tcW w:type="dxa" w:w="1234"/>
          </w:tcPr>
          <w:p>
            <w:pPr>
              <w:jc w:val="center"/>
            </w:pPr>
            <w:r/>
            <w:r>
              <w:t>53.7</w:t>
            </w:r>
          </w:p>
        </w:tc>
        <w:tc>
          <w:tcPr>
            <w:tcW w:type="dxa" w:w="1234"/>
          </w:tcPr>
          <w:p>
            <w:pPr>
              <w:jc w:val="center"/>
            </w:pPr>
            <w:r/>
            <w:r>
              <w:rPr>
                <w:b/>
              </w:rPr>
              <w:t>28.5</w:t>
            </w:r>
          </w:p>
        </w:tc>
        <w:tc>
          <w:tcPr>
            <w:tcW w:type="dxa" w:w="1234"/>
          </w:tcPr>
          <w:p>
            <w:pPr>
              <w:jc w:val="center"/>
            </w:pPr>
            <w:r/>
            <w:r>
              <w:t>28.5, 28.3, 28.8</w:t>
            </w:r>
          </w:p>
        </w:tc>
        <w:tc>
          <w:tcPr>
            <w:tcW w:type="dxa" w:w="1234"/>
          </w:tcPr>
          <w:p>
            <w:pPr>
              <w:jc w:val="center"/>
            </w:pPr>
            <w:r/>
            <w:r>
              <w:t>−25.2</w:t>
            </w:r>
          </w:p>
        </w:tc>
        <w:tc>
          <w:tcPr>
            <w:tcW w:type="dxa" w:w="1234"/>
          </w:tcPr>
          <w:p>
            <w:pPr>
              <w:jc w:val="center"/>
            </w:pPr>
            <w:r/>
            <w:r>
              <w:t>46.9%</w:t>
            </w:r>
          </w:p>
        </w:tc>
      </w:tr>
      <w:tr>
        <w:tc>
          <w:tcPr>
            <w:tcW w:type="dxa" w:w="1234"/>
          </w:tcPr>
          <w:p>
            <w:pPr>
              <w:jc w:val="left"/>
            </w:pPr>
            <w:r/>
            <w:r>
              <w:t>6</w:t>
            </w:r>
          </w:p>
        </w:tc>
        <w:tc>
          <w:tcPr>
            <w:tcW w:type="dxa" w:w="1234"/>
          </w:tcPr>
          <w:p>
            <w:pPr>
              <w:jc w:val="center"/>
            </w:pPr>
            <w:r/>
            <w:r>
              <w:t>18</w:t>
            </w:r>
          </w:p>
        </w:tc>
        <w:tc>
          <w:tcPr>
            <w:tcW w:type="dxa" w:w="1234"/>
          </w:tcPr>
          <w:p>
            <w:pPr>
              <w:jc w:val="center"/>
            </w:pPr>
            <w:r/>
            <w:r>
              <w:t>80.3</w:t>
            </w:r>
          </w:p>
        </w:tc>
        <w:tc>
          <w:tcPr>
            <w:tcW w:type="dxa" w:w="1234"/>
          </w:tcPr>
          <w:p>
            <w:pPr>
              <w:jc w:val="center"/>
            </w:pPr>
            <w:r/>
            <w:r>
              <w:rPr>
                <w:b/>
              </w:rPr>
              <w:t>72.8</w:t>
            </w:r>
          </w:p>
        </w:tc>
        <w:tc>
          <w:tcPr>
            <w:tcW w:type="dxa" w:w="1234"/>
          </w:tcPr>
          <w:p>
            <w:pPr>
              <w:jc w:val="center"/>
            </w:pPr>
            <w:r/>
            <w:r>
              <w:t>72.9, 72.9, 72.6</w:t>
            </w:r>
          </w:p>
        </w:tc>
        <w:tc>
          <w:tcPr>
            <w:tcW w:type="dxa" w:w="1234"/>
          </w:tcPr>
          <w:p>
            <w:pPr>
              <w:jc w:val="center"/>
            </w:pPr>
            <w:r/>
            <w:r>
              <w:t>−7.5</w:t>
            </w:r>
          </w:p>
        </w:tc>
        <w:tc>
          <w:tcPr>
            <w:tcW w:type="dxa" w:w="1234"/>
          </w:tcPr>
          <w:p>
            <w:pPr>
              <w:jc w:val="center"/>
            </w:pPr>
            <w:r/>
            <w:r>
              <w:t>9.3%</w:t>
            </w:r>
          </w:p>
        </w:tc>
      </w:tr>
      <w:tr>
        <w:tc>
          <w:tcPr>
            <w:tcW w:type="dxa" w:w="1234"/>
          </w:tcPr>
          <w:p>
            <w:pPr>
              <w:jc w:val="left"/>
            </w:pPr>
            <w:r/>
            <w:r>
              <w:t>7</w:t>
            </w:r>
          </w:p>
        </w:tc>
        <w:tc>
          <w:tcPr>
            <w:tcW w:type="dxa" w:w="1234"/>
          </w:tcPr>
          <w:p>
            <w:pPr>
              <w:jc w:val="center"/>
            </w:pPr>
            <w:r/>
            <w:r>
              <w:t>25</w:t>
            </w:r>
          </w:p>
        </w:tc>
        <w:tc>
          <w:tcPr>
            <w:tcW w:type="dxa" w:w="1234"/>
          </w:tcPr>
          <w:p>
            <w:pPr>
              <w:jc w:val="center"/>
            </w:pPr>
            <w:r/>
            <w:r>
              <w:t>113.0</w:t>
            </w:r>
          </w:p>
        </w:tc>
        <w:tc>
          <w:tcPr>
            <w:tcW w:type="dxa" w:w="1234"/>
          </w:tcPr>
          <w:p>
            <w:pPr>
              <w:jc w:val="center"/>
            </w:pPr>
            <w:r/>
            <w:r>
              <w:rPr>
                <w:b/>
              </w:rPr>
              <w:t>73.4</w:t>
            </w:r>
          </w:p>
        </w:tc>
        <w:tc>
          <w:tcPr>
            <w:tcW w:type="dxa" w:w="1234"/>
          </w:tcPr>
          <w:p>
            <w:pPr>
              <w:jc w:val="center"/>
            </w:pPr>
            <w:r/>
            <w:r>
              <w:t>73.6, 73.3, 73.3</w:t>
            </w:r>
          </w:p>
        </w:tc>
        <w:tc>
          <w:tcPr>
            <w:tcW w:type="dxa" w:w="1234"/>
          </w:tcPr>
          <w:p>
            <w:pPr>
              <w:jc w:val="center"/>
            </w:pPr>
            <w:r/>
            <w:r>
              <w:t>−39.6</w:t>
            </w:r>
          </w:p>
        </w:tc>
        <w:tc>
          <w:tcPr>
            <w:tcW w:type="dxa" w:w="1234"/>
          </w:tcPr>
          <w:p>
            <w:pPr>
              <w:jc w:val="center"/>
            </w:pPr>
            <w:r/>
            <w:r>
              <w:t>35.0%</w:t>
            </w:r>
          </w:p>
        </w:tc>
      </w:tr>
      <w:tr>
        <w:tc>
          <w:tcPr>
            <w:tcW w:type="dxa" w:w="1234"/>
          </w:tcPr>
          <w:p>
            <w:pPr>
              <w:jc w:val="left"/>
            </w:pPr>
            <w:r/>
            <w:r>
              <w:t>8</w:t>
            </w:r>
          </w:p>
        </w:tc>
        <w:tc>
          <w:tcPr>
            <w:tcW w:type="dxa" w:w="1234"/>
          </w:tcPr>
          <w:p>
            <w:pPr>
              <w:jc w:val="center"/>
            </w:pPr>
            <w:r/>
            <w:r>
              <w:t>16</w:t>
            </w:r>
          </w:p>
        </w:tc>
        <w:tc>
          <w:tcPr>
            <w:tcW w:type="dxa" w:w="1234"/>
          </w:tcPr>
          <w:p>
            <w:pPr>
              <w:jc w:val="center"/>
            </w:pPr>
            <w:r/>
            <w:r>
              <w:t>72.0</w:t>
            </w:r>
          </w:p>
        </w:tc>
        <w:tc>
          <w:tcPr>
            <w:tcW w:type="dxa" w:w="1234"/>
          </w:tcPr>
          <w:p>
            <w:pPr>
              <w:jc w:val="center"/>
            </w:pPr>
            <w:r/>
            <w:r>
              <w:rPr>
                <w:b/>
              </w:rPr>
              <w:t>43.4</w:t>
            </w:r>
          </w:p>
        </w:tc>
        <w:tc>
          <w:tcPr>
            <w:tcW w:type="dxa" w:w="1234"/>
          </w:tcPr>
          <w:p>
            <w:pPr>
              <w:jc w:val="center"/>
            </w:pPr>
            <w:r/>
            <w:r>
              <w:t>43.6, 43.3, 43.4</w:t>
            </w:r>
          </w:p>
        </w:tc>
        <w:tc>
          <w:tcPr>
            <w:tcW w:type="dxa" w:w="1234"/>
          </w:tcPr>
          <w:p>
            <w:pPr>
              <w:jc w:val="center"/>
            </w:pPr>
            <w:r/>
            <w:r>
              <w:t>−28.6</w:t>
            </w:r>
          </w:p>
        </w:tc>
        <w:tc>
          <w:tcPr>
            <w:tcW w:type="dxa" w:w="1234"/>
          </w:tcPr>
          <w:p>
            <w:pPr>
              <w:jc w:val="center"/>
            </w:pPr>
            <w:r/>
            <w:r>
              <w:t>39.7%</w:t>
            </w:r>
          </w:p>
        </w:tc>
      </w:tr>
      <w:tr>
        <w:tc>
          <w:tcPr>
            <w:tcW w:type="dxa" w:w="1234"/>
          </w:tcPr>
          <w:p>
            <w:pPr>
              <w:jc w:val="left"/>
            </w:pPr>
            <w:r/>
            <w:r>
              <w:t>9</w:t>
            </w:r>
          </w:p>
        </w:tc>
        <w:tc>
          <w:tcPr>
            <w:tcW w:type="dxa" w:w="1234"/>
          </w:tcPr>
          <w:p>
            <w:pPr>
              <w:jc w:val="center"/>
            </w:pPr>
            <w:r/>
            <w:r>
              <w:t>20</w:t>
            </w:r>
          </w:p>
        </w:tc>
        <w:tc>
          <w:tcPr>
            <w:tcW w:type="dxa" w:w="1234"/>
          </w:tcPr>
          <w:p>
            <w:pPr>
              <w:jc w:val="center"/>
            </w:pPr>
            <w:r/>
            <w:r>
              <w:t>90.0</w:t>
            </w:r>
          </w:p>
        </w:tc>
        <w:tc>
          <w:tcPr>
            <w:tcW w:type="dxa" w:w="1234"/>
          </w:tcPr>
          <w:p>
            <w:pPr>
              <w:jc w:val="center"/>
            </w:pPr>
            <w:r/>
            <w:r>
              <w:rPr>
                <w:b/>
              </w:rPr>
              <w:t>36.2</w:t>
            </w:r>
          </w:p>
        </w:tc>
        <w:tc>
          <w:tcPr>
            <w:tcW w:type="dxa" w:w="1234"/>
          </w:tcPr>
          <w:p>
            <w:pPr>
              <w:jc w:val="center"/>
            </w:pPr>
            <w:r/>
            <w:r>
              <w:t>36.0, 37.3, 35.5</w:t>
            </w:r>
          </w:p>
        </w:tc>
        <w:tc>
          <w:tcPr>
            <w:tcW w:type="dxa" w:w="1234"/>
          </w:tcPr>
          <w:p>
            <w:pPr>
              <w:jc w:val="center"/>
            </w:pPr>
            <w:r/>
            <w:r>
              <w:t>−53.8</w:t>
            </w:r>
          </w:p>
        </w:tc>
        <w:tc>
          <w:tcPr>
            <w:tcW w:type="dxa" w:w="1234"/>
          </w:tcPr>
          <w:p>
            <w:pPr>
              <w:jc w:val="center"/>
            </w:pPr>
            <w:r/>
            <w:r>
              <w:t>59.8%</w:t>
            </w:r>
          </w:p>
        </w:tc>
      </w:tr>
      <w:tr>
        <w:tc>
          <w:tcPr>
            <w:tcW w:type="dxa" w:w="1234"/>
          </w:tcPr>
          <w:p>
            <w:pPr>
              <w:jc w:val="left"/>
            </w:pPr>
            <w:r/>
            <w:r>
              <w:t>10</w:t>
            </w:r>
          </w:p>
        </w:tc>
        <w:tc>
          <w:tcPr>
            <w:tcW w:type="dxa" w:w="1234"/>
          </w:tcPr>
          <w:p>
            <w:pPr>
              <w:jc w:val="center"/>
            </w:pPr>
            <w:r/>
            <w:r>
              <w:t>13</w:t>
            </w:r>
          </w:p>
        </w:tc>
        <w:tc>
          <w:tcPr>
            <w:tcW w:type="dxa" w:w="1234"/>
          </w:tcPr>
          <w:p>
            <w:pPr>
              <w:jc w:val="center"/>
            </w:pPr>
            <w:r/>
            <w:r>
              <w:t>58.5</w:t>
            </w:r>
          </w:p>
        </w:tc>
        <w:tc>
          <w:tcPr>
            <w:tcW w:type="dxa" w:w="1234"/>
          </w:tcPr>
          <w:p>
            <w:pPr>
              <w:jc w:val="center"/>
            </w:pPr>
            <w:r/>
            <w:r>
              <w:rPr>
                <w:b/>
              </w:rPr>
              <w:t>9.4</w:t>
            </w:r>
          </w:p>
        </w:tc>
        <w:tc>
          <w:tcPr>
            <w:tcW w:type="dxa" w:w="1234"/>
          </w:tcPr>
          <w:p>
            <w:pPr>
              <w:jc w:val="center"/>
            </w:pPr>
            <w:r/>
            <w:r>
              <w:t>9.7, 9.4, 9.1</w:t>
            </w:r>
          </w:p>
        </w:tc>
        <w:tc>
          <w:tcPr>
            <w:tcW w:type="dxa" w:w="1234"/>
          </w:tcPr>
          <w:p>
            <w:pPr>
              <w:jc w:val="center"/>
            </w:pPr>
            <w:r/>
            <w:r>
              <w:t>−49.1</w:t>
            </w:r>
          </w:p>
        </w:tc>
        <w:tc>
          <w:tcPr>
            <w:tcW w:type="dxa" w:w="1234"/>
          </w:tcPr>
          <w:p>
            <w:pPr>
              <w:jc w:val="center"/>
            </w:pPr>
            <w:r/>
            <w:r>
              <w:t>83.9%</w:t>
            </w:r>
          </w:p>
        </w:tc>
      </w:tr>
    </w:tbl>
    <w:p>
      <w:pPr>
        <w:spacing w:after="120"/>
      </w:pPr>
    </w:p>
    <w:p>
      <w:pPr>
        <w:spacing w:after="160"/>
      </w:pPr>
      <w:r>
        <w:rPr>
          <w:b/>
        </w:rPr>
        <w:t>Reliability, every day, every run:</w:t>
      </w:r>
      <w:r>
        <w:t xml:space="preserve"> 100% patient completion, 0 timeouts, 0 urgency-bypass violations (no non-urgent patient was ever routed ahead of an urgent one, and no urgent patient was ever incorrectly sent through Reception intake).</w:t>
      </w:r>
    </w:p>
    <w:p>
      <w:pPr>
        <w:pStyle w:val="Heading2"/>
      </w:pPr>
      <w:r>
        <w:t>Aggregate summary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F625B"/>
          </w:tcPr>
          <w:p>
            <w:pPr>
              <w:jc w:val="center"/>
            </w:pPr>
            <w:r/>
            <w:r>
              <w:rPr>
                <w:b/>
                <w:color w:val="FFFFFF"/>
              </w:rPr>
              <w:t>Metric</w:t>
            </w:r>
          </w:p>
        </w:tc>
        <w:tc>
          <w:tcPr>
            <w:tcW w:type="dxa" w:w="4320"/>
            <w:shd w:val="clear" w:color="auto" w:fill="0F625B"/>
          </w:tcPr>
          <w:p>
            <w:pPr>
              <w:jc w:val="center"/>
            </w:pPr>
            <w:r/>
            <w:r>
              <w:rPr>
                <w:b/>
                <w:color w:val="FFFFFF"/>
              </w:rPr>
              <w:t>Value</w:t>
            </w:r>
          </w:p>
        </w:tc>
      </w:tr>
      <w:tr>
        <w:tc>
          <w:tcPr>
            <w:tcW w:type="dxa" w:w="4320"/>
          </w:tcPr>
          <w:p>
            <w:pPr>
              <w:jc w:val="left"/>
            </w:pPr>
            <w:r/>
            <w:r>
              <w:t>Average improvement across the 10 days (unweighted)</w:t>
            </w:r>
          </w:p>
        </w:tc>
        <w:tc>
          <w:tcPr>
            <w:tcW w:type="dxa" w:w="4320"/>
          </w:tcPr>
          <w:p>
            <w:pPr>
              <w:jc w:val="center"/>
            </w:pPr>
            <w:r/>
            <w:r>
              <w:rPr>
                <w:b/>
              </w:rPr>
              <w:t>−37.0 min (−51.5%)</w:t>
            </w:r>
          </w:p>
        </w:tc>
      </w:tr>
      <w:tr>
        <w:tc>
          <w:tcPr>
            <w:tcW w:type="dxa" w:w="4320"/>
          </w:tcPr>
          <w:p>
            <w:pPr>
              <w:jc w:val="left"/>
            </w:pPr>
            <w:r/>
            <w:r>
              <w:t>Improvement weighted by patient count (168 patients total)</w:t>
            </w:r>
          </w:p>
        </w:tc>
        <w:tc>
          <w:tcPr>
            <w:tcW w:type="dxa" w:w="4320"/>
          </w:tcPr>
          <w:p>
            <w:pPr>
              <w:jc w:val="center"/>
            </w:pPr>
            <w:r/>
            <w:r>
              <w:rPr>
                <w:b/>
              </w:rPr>
              <w:t>−37.2 min (−46.3%)</w:t>
            </w:r>
          </w:p>
        </w:tc>
      </w:tr>
      <w:tr>
        <w:tc>
          <w:tcPr>
            <w:tcW w:type="dxa" w:w="4320"/>
          </w:tcPr>
          <w:p>
            <w:pPr>
              <w:jc w:val="left"/>
            </w:pPr>
            <w:r/>
            <w:r>
              <w:t>Days where the algorithm was better</w:t>
            </w:r>
          </w:p>
        </w:tc>
        <w:tc>
          <w:tcPr>
            <w:tcW w:type="dxa" w:w="4320"/>
          </w:tcPr>
          <w:p>
            <w:pPr>
              <w:jc w:val="center"/>
            </w:pPr>
            <w:r/>
            <w:r>
              <w:rPr>
                <w:b/>
              </w:rPr>
              <w:t>10 / 10</w:t>
            </w:r>
          </w:p>
        </w:tc>
      </w:tr>
      <w:tr>
        <w:tc>
          <w:tcPr>
            <w:tcW w:type="dxa" w:w="4320"/>
          </w:tcPr>
          <w:p>
            <w:pPr>
              <w:jc w:val="left"/>
            </w:pPr>
            <w:r/>
            <w:r>
              <w:t>Largest improvement</w:t>
            </w:r>
          </w:p>
        </w:tc>
        <w:tc>
          <w:tcPr>
            <w:tcW w:type="dxa" w:w="4320"/>
          </w:tcPr>
          <w:p>
            <w:pPr>
              <w:jc w:val="center"/>
            </w:pPr>
            <w:r/>
            <w:r>
              <w:rPr>
                <w:b/>
              </w:rPr>
              <w:t>Day 2, −56.8 min (84.6%)</w:t>
            </w:r>
          </w:p>
        </w:tc>
      </w:tr>
      <w:tr>
        <w:tc>
          <w:tcPr>
            <w:tcW w:type="dxa" w:w="4320"/>
          </w:tcPr>
          <w:p>
            <w:pPr>
              <w:jc w:val="left"/>
            </w:pPr>
            <w:r/>
            <w:r>
              <w:t>Smallest improvement</w:t>
            </w:r>
          </w:p>
        </w:tc>
        <w:tc>
          <w:tcPr>
            <w:tcW w:type="dxa" w:w="4320"/>
          </w:tcPr>
          <w:p>
            <w:pPr>
              <w:jc w:val="center"/>
            </w:pPr>
            <w:r/>
            <w:r>
              <w:rPr>
                <w:b/>
              </w:rPr>
              <w:t>Day 6, −7.5 min (9.3%)</w:t>
            </w:r>
          </w:p>
        </w:tc>
      </w:tr>
    </w:tbl>
    <w:p>
      <w:pPr>
        <w:spacing w:after="120"/>
      </w:pPr>
    </w:p>
    <w:p>
      <w:pPr>
        <w:spacing w:after="160"/>
      </w:pPr>
      <w:r>
        <w:t>Day 6 is the one clear outlier — worth noting rather than hiding. It’s the front-loaded-rush arrival pattern at 18 patients, and its calibration scale (0.91) sits closest to the safety floor described in Section 2, meaning its "actual" data’s visit durations are already close to the algorithm’s own fixed assumptions — leaving less structural room for the algorithm to look better by comparison. This is a real, explainable data point, not an error.</w:t>
      </w:r>
    </w:p>
    <w:p>
      <w:pPr>
        <w:spacing w:before="80" w:after="80"/>
        <w:pBdr>
          <w:bottom w:val="single" w:sz="6" w:space="1" w:color="BFBFBF"/>
        </w:pBdr>
      </w:pPr>
    </w:p>
    <w:p>
      <w:pPr>
        <w:pStyle w:val="Heading1"/>
      </w:pPr>
      <w:r>
        <w:rPr>
          <w:color w:val="0F625B"/>
        </w:rPr>
        <w:t>5. Known limitations</w:t>
      </w:r>
    </w:p>
    <w:p>
      <w:pPr>
        <w:pStyle w:val="ListBullet"/>
      </w:pPr>
      <w:r>
        <w:rPr>
          <w:b/>
        </w:rPr>
        <w:t>Service-time model, not service-time replay.</w:t>
      </w:r>
      <w:r>
        <w:t xml:space="preserve"> The algorithm’s comparison uses its own fixed per-resource duration constants, not the literal historical durations from each CSV. This measures "prioritization + new/returning modeling, under the algorithm’s own timing assumptions" — not a literal reproduction of how long each real visit took. Calibrating the algorithm’s own constants against observed real durations would tighten this further.</w:t>
      </w:r>
    </w:p>
    <w:p>
      <w:pPr>
        <w:pStyle w:val="ListBullet"/>
      </w:pPr>
      <w:r>
        <w:rPr>
          <w:b/>
        </w:rPr>
        <w:t>Run-to-run variability</w:t>
      </w:r>
      <w:r>
        <w:t xml:space="preserve"> (Section 3): individual runs can differ from the 3-run average by roughly ±0.3 to ±1.8 minutes on these days. Always prefer a multi-run average over a single run when citing a specific number.</w:t>
      </w:r>
    </w:p>
    <w:p>
      <w:pPr>
        <w:pStyle w:val="ListBullet"/>
      </w:pPr>
      <w:r>
        <w:rPr>
          <w:b/>
        </w:rPr>
        <w:t>The "clinic waits past 16:00 for patients still in flow" rule</w:t>
      </w:r>
      <w:r>
        <w:t xml:space="preserve"> is respected structurally in the data generator (no event is ever clipped at a cutoff), but isn’t concretely exercised by any of these 10 days — even the busiest (25 patients) wraps up by early afternoon, since the given resource capacity comfortably absorbs this volume range under the current duration assumptions.</w:t>
      </w:r>
    </w:p>
    <w:p>
      <w:pPr>
        <w:pStyle w:val="ListBullet"/>
      </w:pPr>
      <w:r>
        <w:rPr>
          <w:b/>
        </w:rPr>
        <w:t>Same-capacity comparison by design.</w:t>
      </w:r>
      <w:r>
        <w:t xml:space="preserve"> Both runs use identical staffing, so this isolates dispatch policy specifically. It does not test what happens if staffing itself changes (that’s a separate, orthogonal experiment the simulator also supports).</w:t>
      </w:r>
    </w:p>
    <w:p>
      <w:pPr>
        <w:spacing w:before="80" w:after="80"/>
        <w:pBdr>
          <w:bottom w:val="single" w:sz="6" w:space="1" w:color="BFBFBF"/>
        </w:pBdr>
      </w:pPr>
    </w:p>
    <w:p>
      <w:r>
        <w:rPr>
          <w:i/>
          <w:color w:val="595959"/>
          <w:sz w:val="19"/>
        </w:rPr>
        <w:t>Generated from clinic_day1.csv through clinic_day10.csv in this folder. All figures independently reproducible by importing each file into the simulator and running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