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jc w:val="center"/>
      </w:pPr>
      <w:r>
        <w:rPr>
          <w:rFonts w:ascii="Times New Roman" w:hAnsi="Times New Roman" w:eastAsia="Times New Roman"/>
          <w:b/>
          <w:i w:val="0"/>
          <w:sz w:val="30"/>
        </w:rPr>
        <w:t>Phụ lục 01. YÊU CẦU CÔNG NHẬN SÁNG KIẾN NĂM [Điền năm đề nghị công nhận]</w:t>
      </w:r>
    </w:p>
    <w:p>
      <w:pPr>
        <w:spacing w:after="200" w:before="0"/>
        <w:jc w:val="center"/>
      </w:pPr>
      <w:r>
        <w:rPr>
          <w:rFonts w:ascii="Times New Roman" w:hAnsi="Times New Roman" w:eastAsia="Times New Roman"/>
          <w:b w:val="0"/>
          <w:i w:val="0"/>
          <w:sz w:val="26"/>
        </w:rPr>
        <w:t>(Đối với loại sáng kiến không tính được GTLL trực tiếp bằng tiền)</w:t>
      </w:r>
    </w:p>
    <w:p>
      <w:pPr>
        <w:spacing w:after="120" w:before="0"/>
      </w:pPr>
      <w:r>
        <w:rPr>
          <w:rFonts w:ascii="Times New Roman" w:hAnsi="Times New Roman" w:eastAsia="Times New Roman"/>
          <w:b w:val="0"/>
          <w:i w:val="0"/>
          <w:sz w:val="26"/>
        </w:rPr>
        <w:t>Kính gửi: Hội đồng sáng kiến Trung tâm Viễn thông Sơn Tây</w:t>
      </w:r>
    </w:p>
    <w:p>
      <w:pPr>
        <w:spacing w:after="80" w:before="0"/>
      </w:pPr>
      <w:r>
        <w:rPr>
          <w:rFonts w:ascii="Times New Roman" w:hAnsi="Times New Roman" w:eastAsia="Times New Roman"/>
          <w:b w:val="0"/>
          <w:i w:val="0"/>
          <w:sz w:val="26"/>
        </w:rPr>
        <w:t>Chúng tôi ghi tên dưới đây: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134"/>
        <w:gridCol w:w="1134"/>
        <w:gridCol w:w="1134"/>
        <w:gridCol w:w="1134"/>
        <w:gridCol w:w="1134"/>
        <w:gridCol w:w="1134"/>
        <w:gridCol w:w="1134"/>
        <w:gridCol w:w="1134"/>
      </w:tblGrid>
      <w:tr>
        <w:tc>
          <w:tcPr>
            <w:tcW w:type="dxa" w:w="1134"/>
            <w:vAlign w:val="center"/>
          </w:tcPr>
          <w:p>
            <w:pPr>
              <w:jc w:val="center"/>
            </w:pPr>
            <w:r/>
            <w:r>
              <w:rPr>
                <w:rFonts w:ascii="Times New Roman" w:hAnsi="Times New Roman" w:eastAsia="Times New Roman"/>
                <w:b/>
                <w:i w:val="0"/>
                <w:sz w:val="24"/>
              </w:rPr>
              <w:t>TT</w:t>
            </w:r>
          </w:p>
        </w:tc>
        <w:tc>
          <w:tcPr>
            <w:tcW w:type="dxa" w:w="1134"/>
            <w:vAlign w:val="center"/>
          </w:tcPr>
          <w:p>
            <w:pPr>
              <w:jc w:val="center"/>
            </w:pPr>
            <w:r/>
            <w:r>
              <w:rPr>
                <w:rFonts w:ascii="Times New Roman" w:hAnsi="Times New Roman" w:eastAsia="Times New Roman"/>
                <w:b/>
                <w:i w:val="0"/>
                <w:sz w:val="24"/>
              </w:rPr>
              <w:t>Họ tên tác giả</w:t>
            </w:r>
          </w:p>
        </w:tc>
        <w:tc>
          <w:tcPr>
            <w:tcW w:type="dxa" w:w="1134"/>
            <w:vAlign w:val="center"/>
          </w:tcPr>
          <w:p>
            <w:pPr>
              <w:jc w:val="center"/>
            </w:pPr>
            <w:r/>
            <w:r>
              <w:rPr>
                <w:rFonts w:ascii="Times New Roman" w:hAnsi="Times New Roman" w:eastAsia="Times New Roman"/>
                <w:b/>
                <w:i w:val="0"/>
                <w:sz w:val="24"/>
              </w:rPr>
              <w:t>Nam/Nữ</w:t>
            </w:r>
          </w:p>
        </w:tc>
        <w:tc>
          <w:tcPr>
            <w:tcW w:type="dxa" w:w="1134"/>
            <w:vAlign w:val="center"/>
          </w:tcPr>
          <w:p>
            <w:pPr>
              <w:jc w:val="center"/>
            </w:pPr>
            <w:r/>
            <w:r>
              <w:rPr>
                <w:rFonts w:ascii="Times New Roman" w:hAnsi="Times New Roman" w:eastAsia="Times New Roman"/>
                <w:b/>
                <w:i w:val="0"/>
                <w:sz w:val="24"/>
              </w:rPr>
              <w:t>Trình độ chuyên môn</w:t>
            </w:r>
          </w:p>
        </w:tc>
        <w:tc>
          <w:tcPr>
            <w:tcW w:type="dxa" w:w="1134"/>
            <w:vAlign w:val="center"/>
          </w:tcPr>
          <w:p>
            <w:pPr>
              <w:jc w:val="center"/>
            </w:pPr>
            <w:r/>
            <w:r>
              <w:rPr>
                <w:rFonts w:ascii="Times New Roman" w:hAnsi="Times New Roman" w:eastAsia="Times New Roman"/>
                <w:b/>
                <w:i w:val="0"/>
                <w:sz w:val="24"/>
              </w:rPr>
              <w:t>Chức vụ, đơn vị công tác</w:t>
            </w:r>
          </w:p>
        </w:tc>
        <w:tc>
          <w:tcPr>
            <w:tcW w:type="dxa" w:w="1134"/>
            <w:vAlign w:val="center"/>
          </w:tcPr>
          <w:p>
            <w:pPr>
              <w:jc w:val="center"/>
            </w:pPr>
            <w:r/>
            <w:r>
              <w:rPr>
                <w:rFonts w:ascii="Times New Roman" w:hAnsi="Times New Roman" w:eastAsia="Times New Roman"/>
                <w:b/>
                <w:i w:val="0"/>
                <w:sz w:val="24"/>
              </w:rPr>
              <w:t>Chủ trì / SK</w:t>
            </w:r>
          </w:p>
        </w:tc>
        <w:tc>
          <w:tcPr>
            <w:tcW w:type="dxa" w:w="1134"/>
            <w:vAlign w:val="center"/>
          </w:tcPr>
          <w:p>
            <w:pPr>
              <w:jc w:val="center"/>
            </w:pPr>
            <w:r/>
            <w:r>
              <w:rPr>
                <w:rFonts w:ascii="Times New Roman" w:hAnsi="Times New Roman" w:eastAsia="Times New Roman"/>
                <w:b/>
                <w:i w:val="0"/>
                <w:sz w:val="24"/>
              </w:rPr>
              <w:t>Tỷ lệ đóng góp (%)</w:t>
            </w:r>
          </w:p>
        </w:tc>
        <w:tc>
          <w:tcPr>
            <w:tcW w:type="dxa" w:w="1134"/>
            <w:vAlign w:val="center"/>
          </w:tcPr>
          <w:p>
            <w:pPr>
              <w:jc w:val="center"/>
            </w:pPr>
            <w:r/>
            <w:r>
              <w:rPr>
                <w:rFonts w:ascii="Times New Roman" w:hAnsi="Times New Roman" w:eastAsia="Times New Roman"/>
                <w:b/>
                <w:i w:val="0"/>
                <w:sz w:val="24"/>
              </w:rPr>
              <w:t>Ký tên</w:t>
            </w:r>
          </w:p>
        </w:tc>
      </w:tr>
      <w:tr>
        <w:tc>
          <w:tcPr>
            <w:tcW w:type="dxa" w:w="1134"/>
            <w:vAlign w:val="center"/>
          </w:tcPr>
          <w:p>
            <w:pPr>
              <w:jc w:val="center"/>
            </w:pPr>
            <w:r/>
            <w:r>
              <w:rPr>
                <w:rFonts w:ascii="Times New Roman" w:hAnsi="Times New Roman" w:eastAsia="Times New Roman"/>
                <w:b w:val="0"/>
                <w:i w:val="0"/>
                <w:sz w:val="24"/>
              </w:rPr>
              <w:t>1</w:t>
            </w:r>
          </w:p>
        </w:tc>
        <w:tc>
          <w:tcPr>
            <w:tcW w:type="dxa" w:w="1134"/>
            <w:vAlign w:val="center"/>
          </w:tcPr>
          <w:p>
            <w:pPr>
              <w:jc w:val="left"/>
            </w:pPr>
            <w:r/>
            <w:r>
              <w:rPr>
                <w:rFonts w:ascii="Times New Roman" w:hAnsi="Times New Roman" w:eastAsia="Times New Roman"/>
                <w:b w:val="0"/>
                <w:i w:val="0"/>
                <w:sz w:val="24"/>
              </w:rPr>
              <w:t>[Điền họ tên tác giả 1]</w:t>
            </w:r>
          </w:p>
        </w:tc>
        <w:tc>
          <w:tcPr>
            <w:tcW w:type="dxa" w:w="1134"/>
            <w:vAlign w:val="center"/>
          </w:tcPr>
          <w:p>
            <w:pPr>
              <w:jc w:val="center"/>
            </w:pPr>
            <w:r/>
            <w:r>
              <w:rPr>
                <w:rFonts w:ascii="Times New Roman" w:hAnsi="Times New Roman" w:eastAsia="Times New Roman"/>
                <w:b w:val="0"/>
                <w:i w:val="0"/>
                <w:sz w:val="24"/>
              </w:rPr>
              <w:t>[Điền]</w:t>
            </w:r>
          </w:p>
        </w:tc>
        <w:tc>
          <w:tcPr>
            <w:tcW w:type="dxa" w:w="1134"/>
            <w:vAlign w:val="center"/>
          </w:tcPr>
          <w:p>
            <w:pPr>
              <w:jc w:val="left"/>
            </w:pPr>
            <w:r/>
            <w:r>
              <w:rPr>
                <w:rFonts w:ascii="Times New Roman" w:hAnsi="Times New Roman" w:eastAsia="Times New Roman"/>
                <w:b w:val="0"/>
                <w:i w:val="0"/>
                <w:sz w:val="24"/>
              </w:rPr>
              <w:t>[Điền]</w:t>
            </w:r>
          </w:p>
        </w:tc>
        <w:tc>
          <w:tcPr>
            <w:tcW w:type="dxa" w:w="1134"/>
            <w:vAlign w:val="center"/>
          </w:tcPr>
          <w:p>
            <w:pPr>
              <w:jc w:val="left"/>
            </w:pPr>
            <w:r/>
            <w:r>
              <w:rPr>
                <w:rFonts w:ascii="Times New Roman" w:hAnsi="Times New Roman" w:eastAsia="Times New Roman"/>
                <w:b w:val="0"/>
                <w:i w:val="0"/>
                <w:sz w:val="24"/>
              </w:rPr>
              <w:t>Trung tâm Viễn thông Sơn Tây</w:t>
            </w:r>
          </w:p>
        </w:tc>
        <w:tc>
          <w:tcPr>
            <w:tcW w:type="dxa" w:w="1134"/>
            <w:vAlign w:val="center"/>
          </w:tcPr>
          <w:p>
            <w:pPr>
              <w:jc w:val="center"/>
            </w:pPr>
            <w:r/>
            <w:r>
              <w:rPr>
                <w:rFonts w:ascii="Times New Roman" w:hAnsi="Times New Roman" w:eastAsia="Times New Roman"/>
                <w:b w:val="0"/>
                <w:i w:val="0"/>
                <w:sz w:val="24"/>
              </w:rPr>
              <w:t>X</w:t>
            </w:r>
          </w:p>
        </w:tc>
        <w:tc>
          <w:tcPr>
            <w:tcW w:type="dxa" w:w="1134"/>
            <w:vAlign w:val="center"/>
          </w:tcPr>
          <w:p>
            <w:pPr>
              <w:jc w:val="center"/>
            </w:pPr>
            <w:r/>
            <w:r>
              <w:rPr>
                <w:rFonts w:ascii="Times New Roman" w:hAnsi="Times New Roman" w:eastAsia="Times New Roman"/>
                <w:b w:val="0"/>
                <w:i w:val="0"/>
                <w:sz w:val="24"/>
              </w:rPr>
              <w:t>[Điền %]</w:t>
            </w:r>
          </w:p>
        </w:tc>
        <w:tc>
          <w:tcPr>
            <w:tcW w:type="dxa" w:w="1134"/>
            <w:vAlign w:val="center"/>
          </w:tcPr>
          <w:p>
            <w:pPr>
              <w:jc w:val="center"/>
            </w:pPr>
            <w:r/>
            <w:r>
              <w:rPr>
                <w:rFonts w:ascii="Times New Roman" w:hAnsi="Times New Roman" w:eastAsia="Times New Roman"/>
                <w:b w:val="0"/>
                <w:i w:val="0"/>
                <w:sz w:val="24"/>
              </w:rPr>
            </w:r>
          </w:p>
        </w:tc>
      </w:tr>
      <w:tr>
        <w:tc>
          <w:tcPr>
            <w:tcW w:type="dxa" w:w="1134"/>
            <w:vAlign w:val="center"/>
          </w:tcPr>
          <w:p>
            <w:pPr>
              <w:jc w:val="center"/>
            </w:pPr>
            <w:r/>
            <w:r>
              <w:rPr>
                <w:rFonts w:ascii="Times New Roman" w:hAnsi="Times New Roman" w:eastAsia="Times New Roman"/>
                <w:b w:val="0"/>
                <w:i w:val="0"/>
                <w:sz w:val="24"/>
              </w:rPr>
              <w:t>2</w:t>
            </w:r>
          </w:p>
        </w:tc>
        <w:tc>
          <w:tcPr>
            <w:tcW w:type="dxa" w:w="1134"/>
            <w:vAlign w:val="center"/>
          </w:tcPr>
          <w:p>
            <w:pPr>
              <w:jc w:val="left"/>
            </w:pPr>
            <w:r/>
            <w:r>
              <w:rPr>
                <w:rFonts w:ascii="Times New Roman" w:hAnsi="Times New Roman" w:eastAsia="Times New Roman"/>
                <w:b w:val="0"/>
                <w:i w:val="0"/>
                <w:sz w:val="24"/>
              </w:rPr>
              <w:t>[Điền họ tên tác giả 2 nếu có]</w:t>
            </w:r>
          </w:p>
        </w:tc>
        <w:tc>
          <w:tcPr>
            <w:tcW w:type="dxa" w:w="1134"/>
            <w:vAlign w:val="center"/>
          </w:tcPr>
          <w:p>
            <w:pPr>
              <w:jc w:val="center"/>
            </w:pPr>
            <w:r/>
            <w:r>
              <w:rPr>
                <w:rFonts w:ascii="Times New Roman" w:hAnsi="Times New Roman" w:eastAsia="Times New Roman"/>
                <w:b w:val="0"/>
                <w:i w:val="0"/>
                <w:sz w:val="24"/>
              </w:rPr>
              <w:t>[Điền]</w:t>
            </w:r>
          </w:p>
        </w:tc>
        <w:tc>
          <w:tcPr>
            <w:tcW w:type="dxa" w:w="1134"/>
            <w:vAlign w:val="center"/>
          </w:tcPr>
          <w:p>
            <w:pPr>
              <w:jc w:val="left"/>
            </w:pPr>
            <w:r/>
            <w:r>
              <w:rPr>
                <w:rFonts w:ascii="Times New Roman" w:hAnsi="Times New Roman" w:eastAsia="Times New Roman"/>
                <w:b w:val="0"/>
                <w:i w:val="0"/>
                <w:sz w:val="24"/>
              </w:rPr>
              <w:t>[Điền]</w:t>
            </w:r>
          </w:p>
        </w:tc>
        <w:tc>
          <w:tcPr>
            <w:tcW w:type="dxa" w:w="1134"/>
            <w:vAlign w:val="center"/>
          </w:tcPr>
          <w:p>
            <w:pPr>
              <w:jc w:val="left"/>
            </w:pPr>
            <w:r/>
            <w:r>
              <w:rPr>
                <w:rFonts w:ascii="Times New Roman" w:hAnsi="Times New Roman" w:eastAsia="Times New Roman"/>
                <w:b w:val="0"/>
                <w:i w:val="0"/>
                <w:sz w:val="24"/>
              </w:rPr>
              <w:t>Trung tâm Viễn thông Sơn Tây</w:t>
            </w:r>
          </w:p>
        </w:tc>
        <w:tc>
          <w:tcPr>
            <w:tcW w:type="dxa" w:w="1134"/>
            <w:vAlign w:val="center"/>
          </w:tcPr>
          <w:p>
            <w:pPr>
              <w:jc w:val="center"/>
            </w:pPr>
            <w:r/>
            <w:r>
              <w:rPr>
                <w:rFonts w:ascii="Times New Roman" w:hAnsi="Times New Roman" w:eastAsia="Times New Roman"/>
                <w:b w:val="0"/>
                <w:i w:val="0"/>
                <w:sz w:val="24"/>
              </w:rPr>
            </w:r>
          </w:p>
        </w:tc>
        <w:tc>
          <w:tcPr>
            <w:tcW w:type="dxa" w:w="1134"/>
            <w:vAlign w:val="center"/>
          </w:tcPr>
          <w:p>
            <w:pPr>
              <w:jc w:val="center"/>
            </w:pPr>
            <w:r/>
            <w:r>
              <w:rPr>
                <w:rFonts w:ascii="Times New Roman" w:hAnsi="Times New Roman" w:eastAsia="Times New Roman"/>
                <w:b w:val="0"/>
                <w:i w:val="0"/>
                <w:sz w:val="24"/>
              </w:rPr>
              <w:t>[Điền %]</w:t>
            </w:r>
          </w:p>
        </w:tc>
        <w:tc>
          <w:tcPr>
            <w:tcW w:type="dxa" w:w="1134"/>
            <w:vAlign w:val="center"/>
          </w:tcPr>
          <w:p>
            <w:pPr>
              <w:jc w:val="center"/>
            </w:pPr>
            <w:r/>
            <w:r>
              <w:rPr>
                <w:rFonts w:ascii="Times New Roman" w:hAnsi="Times New Roman" w:eastAsia="Times New Roman"/>
                <w:b w:val="0"/>
                <w:i w:val="0"/>
                <w:sz w:val="24"/>
              </w:rPr>
            </w:r>
          </w:p>
        </w:tc>
      </w:tr>
    </w:tbl>
    <w:p>
      <w:pPr>
        <w:spacing w:after="160" w:before="80"/>
      </w:pPr>
      <w:r>
        <w:rPr>
          <w:rFonts w:ascii="Times New Roman" w:hAnsi="Times New Roman" w:eastAsia="Times New Roman"/>
          <w:b w:val="0"/>
          <w:i/>
          <w:sz w:val="24"/>
        </w:rPr>
        <w:t>(Tỷ lệ đóng góp của mỗi tác giả trong sáng kiến không dưới 20%, ghi rõ người chủ trì là người có tỷ lệ đóng góp cao nhất cho sáng kiến)</w:t>
      </w:r>
    </w:p>
    <w:p>
      <w:pPr>
        <w:spacing w:after="80" w:before="0"/>
      </w:pPr>
      <w:r>
        <w:rPr>
          <w:rFonts w:ascii="Times New Roman" w:hAnsi="Times New Roman" w:eastAsia="Times New Roman"/>
          <w:b w:val="0"/>
          <w:i w:val="0"/>
          <w:sz w:val="26"/>
        </w:rPr>
        <w:t>Điện thoại: [Điền số điện thoại] - Email: [Điền email]</w:t>
      </w:r>
    </w:p>
    <w:p>
      <w:pPr>
        <w:spacing w:after="80" w:before="0"/>
      </w:pPr>
      <w:r>
        <w:rPr>
          <w:rFonts w:ascii="Times New Roman" w:hAnsi="Times New Roman" w:eastAsia="Times New Roman"/>
          <w:b w:val="0"/>
          <w:i w:val="0"/>
          <w:sz w:val="26"/>
        </w:rPr>
        <w:t>Địa chỉ bưu điện: Trung tâm Viễn thông Sơn Tây, VNPT Hà Nội</w:t>
      </w:r>
    </w:p>
    <w:p>
      <w:pPr>
        <w:spacing w:after="80" w:before="0"/>
      </w:pPr>
      <w:r>
        <w:rPr>
          <w:rFonts w:ascii="Times New Roman" w:hAnsi="Times New Roman" w:eastAsia="Times New Roman"/>
          <w:b w:val="0"/>
          <w:i w:val="0"/>
          <w:sz w:val="26"/>
        </w:rPr>
        <w:t>Căn cứ Quy định hiện hành của Tập đoàn về hoạt động sáng kiến và đổi mới sáng tạo;</w:t>
      </w:r>
    </w:p>
    <w:p>
      <w:pPr>
        <w:spacing w:after="80" w:before="0"/>
      </w:pPr>
      <w:r>
        <w:rPr>
          <w:rFonts w:ascii="Times New Roman" w:hAnsi="Times New Roman" w:eastAsia="Times New Roman"/>
          <w:b w:val="0"/>
          <w:i w:val="0"/>
          <w:sz w:val="26"/>
        </w:rPr>
        <w:t>Yêu cầu xét công nhận sáng kiến: Xây dựng chuỗi giải pháp tự động hóa thu thập, xử lý báo cáo và dashboard điều hành giám sát chỉ tiêu chất lượng phục vụ công tác quản trị tại Trung tâm Viễn thông Sơn Tây.</w:t>
      </w:r>
    </w:p>
    <w:p>
      <w:pPr>
        <w:spacing w:after="120" w:before="0"/>
      </w:pPr>
      <w:r>
        <w:rPr>
          <w:rFonts w:ascii="Times New Roman" w:hAnsi="Times New Roman" w:eastAsia="Times New Roman"/>
          <w:b w:val="0"/>
          <w:i/>
          <w:sz w:val="24"/>
        </w:rPr>
        <w:t>Lưu ý: Tên sáng kiến phải ngắn gọn, súc tích, thể hiện rõ nội dung và bản chất của giải pháp, phản ánh được vấn đề cần giải quyết hoặc kết quả đạt được và tính hiệu quả của sáng kiến. Không đặt tên chung chung, dài dòng hoặc không gắn với nội dung sáng kiến.</w:t>
      </w:r>
    </w:p>
    <w:p>
      <w:pPr>
        <w:spacing w:after="80" w:before="0"/>
      </w:pPr>
      <w:r>
        <w:rPr>
          <w:rFonts w:ascii="Times New Roman" w:hAnsi="Times New Roman" w:eastAsia="Times New Roman"/>
          <w:b w:val="0"/>
          <w:i w:val="0"/>
          <w:sz w:val="26"/>
        </w:rPr>
        <w:t>Ngày sáng kiến được áp dụng lần đầu hoặc áp dụng thử: [Điền thời điểm áp dụng]</w:t>
      </w:r>
    </w:p>
    <w:p>
      <w:pPr>
        <w:spacing w:after="200" w:before="0"/>
      </w:pPr>
      <w:r>
        <w:rPr>
          <w:rFonts w:ascii="Times New Roman" w:hAnsi="Times New Roman" w:eastAsia="Times New Roman"/>
          <w:b w:val="0"/>
          <w:i w:val="0"/>
          <w:sz w:val="26"/>
        </w:rPr>
        <w:t>Địa điểm áp dụng: Trung tâm Viễn thông Sơn Tây, VNPT Hà Nội</w:t>
      </w:r>
    </w:p>
    <w:p>
      <w:pPr>
        <w:spacing w:after="160" w:before="0"/>
        <w:jc w:val="center"/>
      </w:pPr>
      <w:r>
        <w:rPr>
          <w:rFonts w:ascii="Times New Roman" w:hAnsi="Times New Roman" w:eastAsia="Times New Roman"/>
          <w:b/>
          <w:i w:val="0"/>
          <w:sz w:val="28"/>
        </w:rPr>
        <w:t>MÔ TẢ SÁNG KIẾN</w:t>
      </w:r>
    </w:p>
    <w:p>
      <w:pPr>
        <w:spacing w:after="80" w:before="0"/>
      </w:pPr>
      <w:r>
        <w:rPr>
          <w:rFonts w:ascii="Times New Roman" w:hAnsi="Times New Roman" w:eastAsia="Times New Roman"/>
          <w:b/>
          <w:i w:val="0"/>
          <w:sz w:val="26"/>
        </w:rPr>
        <w:t>I. Lý do đề xuất sáng kiến:</w:t>
      </w:r>
    </w:p>
    <w:p>
      <w:pPr>
        <w:spacing w:after="80" w:before="0"/>
        <w:ind w:firstLine="567"/>
      </w:pPr>
      <w:r>
        <w:rPr>
          <w:rFonts w:ascii="Times New Roman" w:hAnsi="Times New Roman" w:eastAsia="Times New Roman"/>
          <w:b w:val="0"/>
          <w:i w:val="0"/>
          <w:sz w:val="26"/>
        </w:rPr>
        <w:t>Trong thực tế điều hành tại đơn vị, dữ liệu phục vụ theo dõi chỉ tiêu chất lượng không hình thành sẵn ở một nơi mà phải đi qua nhiều công đoạn: đăng nhập vào hệ thống báo cáo, nhận hoặc chờ OTP, truy cập từng biểu mẫu, chọn đơn vị, chọn kỳ báo cáo, tải từng file Excel, đổi tên tệp, làm sạch dữ liệu, chuẩn hóa tên nhân viên kỹ thuật và tổng hợp lại theo tổ hoặc theo cá nhân. Với nhóm nghiệp vụ kỹ thuật dựa trên OneBSS, cán bộ còn phải tiếp tục tải các báo cáo BRCD, PTTB và các dữ liệu liên quan, theo dõi vòng đời phiếu, bóc tách các trường hợp mới phát sinh, các trường hợp kéo dài hoặc các trường hợp cần ưu tiên xử lý.</w:t>
      </w:r>
    </w:p>
    <w:p>
      <w:pPr>
        <w:spacing w:after="80" w:before="0"/>
        <w:ind w:firstLine="567"/>
      </w:pPr>
      <w:r>
        <w:rPr>
          <w:rFonts w:ascii="Times New Roman" w:hAnsi="Times New Roman" w:eastAsia="Times New Roman"/>
          <w:b w:val="0"/>
          <w:i w:val="0"/>
          <w:sz w:val="26"/>
        </w:rPr>
        <w:t>Khi dữ liệu đầu vào còn phân tán và phụ thuộc nhiều thao tác thủ công, việc xây dựng dashboard điều hành riêng lẻ sẽ chưa giải quyết triệt để bài toán quản trị. Nếu không có lớp chuẩn hóa và kết xuất dữ liệu ổn định ở phía trước, dashboard chỉ dừng ở vai trò hiển thị lại các tệp đã được xử lý bằng tay, khó bảo đảm tính kịp thời, nhất quán và khả năng kiểm tra vết giữa các kỳ báo cáo.</w:t>
      </w:r>
    </w:p>
    <w:p>
      <w:pPr>
        <w:spacing w:after="80" w:before="0"/>
        <w:ind w:firstLine="567"/>
      </w:pPr>
      <w:r>
        <w:rPr>
          <w:rFonts w:ascii="Times New Roman" w:hAnsi="Times New Roman" w:eastAsia="Times New Roman"/>
          <w:b w:val="0"/>
          <w:i w:val="0"/>
          <w:sz w:val="26"/>
        </w:rPr>
        <w:t>Xuất phát từ yêu cầu đó, cần có một sáng kiến theo hướng liên thông cả hai lớp công việc: tự động hóa khâu thu thập và xử lý dữ liệu nguồn, đồng thời hình thành dashboard nội bộ để khai thác ngay chính dữ liệu đã được chuẩn hóa, phục vụ theo dõi chỉ tiêu chất lượng, điều hành phiếu kỹ thuật và hỗ trợ quản trị hằng ngày tại Trung tâm Viễn thông Sơn Tây.</w:t>
      </w:r>
    </w:p>
    <w:p>
      <w:pPr>
        <w:spacing w:after="40" w:before="0"/>
      </w:pPr>
      <w:r>
        <w:rPr>
          <w:rFonts w:ascii="Times New Roman" w:hAnsi="Times New Roman" w:eastAsia="Times New Roman"/>
          <w:b w:val="0"/>
          <w:i w:val="0"/>
          <w:sz w:val="26"/>
        </w:rPr>
      </w:r>
    </w:p>
    <w:p>
      <w:pPr>
        <w:spacing w:after="80" w:before="0"/>
      </w:pPr>
      <w:r>
        <w:rPr>
          <w:rFonts w:ascii="Times New Roman" w:hAnsi="Times New Roman" w:eastAsia="Times New Roman"/>
          <w:b/>
          <w:i w:val="0"/>
          <w:sz w:val="26"/>
        </w:rPr>
        <w:t>II. Mục tiêu của sáng kiến:</w:t>
      </w:r>
    </w:p>
    <w:p>
      <w:pPr>
        <w:spacing w:after="80" w:before="0"/>
        <w:ind w:firstLine="567"/>
      </w:pPr>
      <w:r>
        <w:rPr>
          <w:rFonts w:ascii="Times New Roman" w:hAnsi="Times New Roman" w:eastAsia="Times New Roman"/>
          <w:b w:val="0"/>
          <w:i w:val="0"/>
          <w:sz w:val="26"/>
        </w:rPr>
        <w:t>Mục tiêu của sáng kiến là xây dựng một chuỗi giải pháp phần mềm liên thông từ khâu thu thập báo cáo nguồn, xử lý và chuẩn hóa dữ liệu, đến khâu hiển thị dashboard điều hành nhằm phục vụ theo dõi, giám sát và quản trị các chỉ tiêu chất lượng tại Trung tâm Viễn thông Sơn Tây. Sáng kiến hướng tới việc số hóa trọn vẹn luồng dữ liệu từ lúc báo cáo phát sinh trên hệ thống nguồn đến khi trở thành thông tin điều hành trực quan cho lãnh đạo và cán bộ nghiệp vụ.</w:t>
      </w:r>
    </w:p>
    <w:p>
      <w:pPr>
        <w:spacing w:after="80" w:before="0"/>
        <w:ind w:firstLine="567"/>
      </w:pPr>
      <w:r>
        <w:rPr>
          <w:rFonts w:ascii="Times New Roman" w:hAnsi="Times New Roman" w:eastAsia="Times New Roman"/>
          <w:b w:val="0"/>
          <w:i w:val="0"/>
          <w:sz w:val="26"/>
        </w:rPr>
        <w:t>Chuỗi giải pháp này tập trung vào bốn mục tiêu chính: giảm thao tác thủ công khi khai thác báo cáo nguồn và báo cáo kỹ thuật; chuẩn hóa dữ liệu đầu vào theo NVKT, tổ địa bàn, chỉ tiêu và kỳ báo cáo; hình thành dashboard tập trung để giám sát các chỉ tiêu chất lượng, phiếu tồn, tiến độ xử lý và các điểm cần cảnh báo; và tạo nền dữ liệu có thể kiểm tra lại theo file nguồn, kỳ báo cáo và lớp xử lý khi cần đối chiếu.</w:t>
      </w:r>
    </w:p>
    <w:p>
      <w:pPr>
        <w:spacing w:after="40" w:before="0"/>
      </w:pPr>
      <w:r>
        <w:rPr>
          <w:rFonts w:ascii="Times New Roman" w:hAnsi="Times New Roman" w:eastAsia="Times New Roman"/>
          <w:b w:val="0"/>
          <w:i w:val="0"/>
          <w:sz w:val="26"/>
        </w:rPr>
      </w:r>
    </w:p>
    <w:p>
      <w:pPr>
        <w:spacing w:after="80" w:before="0"/>
      </w:pPr>
      <w:r>
        <w:rPr>
          <w:rFonts w:ascii="Times New Roman" w:hAnsi="Times New Roman" w:eastAsia="Times New Roman"/>
          <w:b/>
          <w:i w:val="0"/>
          <w:sz w:val="26"/>
        </w:rPr>
        <w:t>III. Nội dung sáng kiến:</w:t>
      </w:r>
    </w:p>
    <w:p>
      <w:pPr>
        <w:spacing w:after="80" w:before="0"/>
        <w:ind w:firstLine="567"/>
      </w:pPr>
      <w:r>
        <w:rPr>
          <w:rFonts w:ascii="Times New Roman" w:hAnsi="Times New Roman" w:eastAsia="Times New Roman"/>
          <w:b w:val="0"/>
          <w:i w:val="0"/>
          <w:sz w:val="26"/>
        </w:rPr>
        <w:t>Sáng kiến được tổ chức theo mô hình chuỗi giải pháp gồm hai lớp liên thông chặt chẽ. Lớp thứ nhất là lớp tạo nguồn dữ liệu đầu vào; lớp thứ hai là lớp dashboard điều hành nội bộ dùng để khai thác, giám sát và hỗ trợ ra quyết định trên chính các đầu ra đã được chuẩn hóa.</w:t>
      </w:r>
    </w:p>
    <w:p>
      <w:pPr>
        <w:spacing w:after="80" w:before="0"/>
        <w:ind w:firstLine="567"/>
      </w:pPr>
      <w:r>
        <w:rPr>
          <w:rFonts w:ascii="Times New Roman" w:hAnsi="Times New Roman" w:eastAsia="Times New Roman"/>
          <w:b w:val="0"/>
          <w:i w:val="0"/>
          <w:sz w:val="26"/>
        </w:rPr>
        <w:t>Theo các tài liệu sáng kiến nguồn đang được lưu cùng repo, lớp tạo nguồn dữ liệu đầu vào được xây dựng bằng Python để phục vụ khai thác báo cáo từ baocao.hanoi.vnpt.vn và các quy trình điều hành kỹ thuật dựa trên OneBSS. Lớp này thực hiện đăng nhập có OTP, tải các nhóm báo cáo chuyên đề đang sử dụng trong thực tế, chuẩn hóa dữ liệu nhân sự và đơn vị, xử lý các bước làm sạch, tổng hợp, theo dõi phiếu BRCD và PTTB, sau đó kết xuất thành các file Excel và dữ liệu trung gian phục vụ điều hành. Những phần liên quan đến số liệu định lượng, tần suất chạy hoặc thời điểm áp dụng cụ thể hiện chưa đủ căn cứ trong repo nên được để trống để hoàn thiện sau.</w:t>
      </w:r>
    </w:p>
    <w:p>
      <w:pPr>
        <w:spacing w:after="80" w:before="0"/>
        <w:ind w:firstLine="567"/>
      </w:pPr>
      <w:r>
        <w:rPr>
          <w:rFonts w:ascii="Times New Roman" w:hAnsi="Times New Roman" w:eastAsia="Times New Roman"/>
          <w:b w:val="0"/>
          <w:i w:val="0"/>
          <w:sz w:val="26"/>
        </w:rPr>
        <w:t>Ở lớp dashboard điều hành, mã nguồn hiện có trong repo dashv3 cho thấy hệ thống được hiện thực trên nền Flask, tổ chức theo các nhóm chức năng auth, operations, quality, statistics, growth, inventory, retention và quangchudong. Ứng dụng sử dụng session filesystem để quản lý phiên đăng nhập, cơ chế token CSRF để bảo vệ biểu mẫu, giao diện Jinja2 để dựng các trang nghiệp vụ và JavaScript phía trình duyệt để gọi API, nhận dữ liệu JSON và hiển thị bảng tổng hợp, bảng chi tiết, KPI, bộ lọc và các khu vực cảnh báo.</w:t>
      </w:r>
    </w:p>
    <w:p>
      <w:pPr>
        <w:spacing w:after="80" w:before="0"/>
        <w:ind w:firstLine="567"/>
      </w:pPr>
      <w:r>
        <w:rPr>
          <w:rFonts w:ascii="Times New Roman" w:hAnsi="Times New Roman" w:eastAsia="Times New Roman"/>
          <w:b w:val="0"/>
          <w:i w:val="0"/>
          <w:sz w:val="26"/>
        </w:rPr>
        <w:t>Ở lớp dữ liệu và xử lý, dashboard đọc trực tiếp từ các file Excel và cơ sở dữ liệu SQLite đang được cấu hình trong config.py như BASE_DATA_PATH, BAOCAO_HANOI_PATH, brcd.db, nvkt_results.db, suy_hao_history.db và suy_hao_history_k2.db. Hàm read_excel_sheet_cached trong app_helpers.py giúp giảm số lần đọc Excel lặp lại; module ticket_tracking.py chụp snapshot và so sánh trạng thái phiếu giữa các thời điểm; dịch vụ services/shc_processing_report.py tổng hợp dữ liệu đã xử lý và cần xử lý theo ngày, theo tháng, theo tổ và theo cá nhân. Nhờ đó, dashboard có thể phục vụ đồng thời các phân hệ C1, I1.5, kết quả xử lý SHC, BRCD, PTTB, KPI NVKT, quang chủ động, vật tư và các phân hệ quản trị liên quan.</w:t>
      </w:r>
    </w:p>
    <w:p>
      <w:pPr>
        <w:spacing w:after="80" w:before="0"/>
        <w:ind w:firstLine="567"/>
      </w:pPr>
      <w:r>
        <w:rPr>
          <w:rFonts w:ascii="Times New Roman" w:hAnsi="Times New Roman" w:eastAsia="Times New Roman"/>
          <w:b w:val="0"/>
          <w:i w:val="0"/>
          <w:sz w:val="26"/>
        </w:rPr>
        <w:t>Nguyên lý hoạt động của toàn chuỗi giải pháp được thực hiện theo luồng sau: dữ liệu nguồn được tải và chuẩn hóa ở lớp đầu; các file Excel và bản ghi SQLite trở thành nguồn đầu vào cho dashboard; khi người dùng truy cập từng phân hệ, frontend gửi yêu cầu tới API tương ứng; backend đọc dữ liệu đầu vào đã chuẩn hóa, xử lý nhóm, tổng hợp và trả dữ liệu JSON; giao diện hiển thị kết quả dưới dạng bảng, bộ lọc, chỉ số và khu vực cảnh báo, đồng thời cho phép tải lại file nguồn khi cần kiểm tra. Cách tổ chức này giúp tạo ra một chuỗi dữ liệu khép kín từ nguồn phát sinh đến lớp điều hành cuối cùng.</w:t>
      </w:r>
    </w:p>
    <w:p>
      <w:pPr>
        <w:spacing w:after="40" w:before="0"/>
      </w:pPr>
      <w:r>
        <w:rPr>
          <w:rFonts w:ascii="Times New Roman" w:hAnsi="Times New Roman" w:eastAsia="Times New Roman"/>
          <w:b w:val="0"/>
          <w:i w:val="0"/>
          <w:sz w:val="26"/>
        </w:rPr>
      </w:r>
    </w:p>
    <w:p>
      <w:pPr>
        <w:spacing w:after="120" w:before="0"/>
      </w:pPr>
      <w:r>
        <w:rPr>
          <w:rFonts w:ascii="Times New Roman" w:hAnsi="Times New Roman" w:eastAsia="Times New Roman"/>
          <w:b/>
          <w:i w:val="0"/>
          <w:sz w:val="26"/>
        </w:rPr>
        <w:t>IV. Kết quả áp dụng/ Lợi ích thu được của sáng kiến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24"/>
        <w:gridCol w:w="3024"/>
        <w:gridCol w:w="3024"/>
      </w:tblGrid>
      <w:tr>
        <w:tc>
          <w:tcPr>
            <w:tcW w:type="dxa" w:w="3024"/>
            <w:vAlign w:val="center"/>
          </w:tcPr>
          <w:p>
            <w:pPr>
              <w:jc w:val="center"/>
            </w:pPr>
            <w:r/>
            <w:r>
              <w:rPr>
                <w:rFonts w:ascii="Times New Roman" w:hAnsi="Times New Roman" w:eastAsia="Times New Roman"/>
                <w:b/>
                <w:i w:val="0"/>
                <w:sz w:val="24"/>
              </w:rPr>
            </w:r>
          </w:p>
        </w:tc>
        <w:tc>
          <w:tcPr>
            <w:tcW w:type="dxa" w:w="3024"/>
            <w:vAlign w:val="center"/>
          </w:tcPr>
          <w:p>
            <w:pPr>
              <w:jc w:val="center"/>
            </w:pPr>
            <w:r/>
            <w:r>
              <w:rPr>
                <w:rFonts w:ascii="Times New Roman" w:hAnsi="Times New Roman" w:eastAsia="Times New Roman"/>
                <w:b/>
                <w:i w:val="0"/>
                <w:sz w:val="24"/>
              </w:rPr>
              <w:t>Mô tả đối tượng / trước khi áp dụng sáng kiến</w:t>
            </w:r>
          </w:p>
        </w:tc>
        <w:tc>
          <w:tcPr>
            <w:tcW w:type="dxa" w:w="3024"/>
            <w:vAlign w:val="center"/>
          </w:tcPr>
          <w:p>
            <w:pPr>
              <w:jc w:val="center"/>
            </w:pPr>
            <w:r/>
            <w:r>
              <w:rPr>
                <w:rFonts w:ascii="Times New Roman" w:hAnsi="Times New Roman" w:eastAsia="Times New Roman"/>
                <w:b/>
                <w:i w:val="0"/>
                <w:sz w:val="24"/>
              </w:rPr>
              <w:t>Mô tả đối tượng / sau khi áp dụng sáng kiến / (hiệu quả kinh tế, lợi ích đã đạt được về các mặt: kinh tế, kỹ thuật, xã hội, môi trường..)</w:t>
            </w:r>
          </w:p>
        </w:tc>
      </w:tr>
      <w:tr>
        <w:tc>
          <w:tcPr>
            <w:tcW w:type="dxa" w:w="3024"/>
            <w:vAlign w:val="center"/>
          </w:tcPr>
          <w:p>
            <w:pPr>
              <w:jc w:val="center"/>
            </w:pPr>
            <w:r/>
            <w:r>
              <w:rPr>
                <w:rFonts w:ascii="Times New Roman" w:hAnsi="Times New Roman" w:eastAsia="Times New Roman"/>
                <w:b w:val="0"/>
                <w:i w:val="0"/>
                <w:sz w:val="24"/>
              </w:rPr>
              <w:t>1</w:t>
            </w:r>
          </w:p>
        </w:tc>
        <w:tc>
          <w:tcPr>
            <w:tcW w:type="dxa" w:w="3024"/>
            <w:vAlign w:val="center"/>
          </w:tcPr>
          <w:p>
            <w:r/>
            <w:r>
              <w:rPr>
                <w:rFonts w:ascii="Times New Roman" w:hAnsi="Times New Roman" w:eastAsia="Times New Roman"/>
                <w:b w:val="0"/>
                <w:i w:val="0"/>
                <w:sz w:val="24"/>
              </w:rPr>
              <w:t>Quy trình khai thác báo cáo và dữ liệu điều hành được thực hiện qua nhiều bước thủ công: đăng nhập hệ thống, chờ OTP, tải từng file, đổi tên tệp, làm sạch dữ liệu, chuẩn hóa tên NVKT và tự tổng hợp lại bằng Excel. Dữ liệu phục vụ điều hành thường nằm rời rạc ở nhiều thư mục, nhiều biểu mẫu và khó kiểm tra vết nhất quán giữa các kỳ báo cáo.</w:t>
            </w:r>
          </w:p>
        </w:tc>
        <w:tc>
          <w:tcPr>
            <w:tcW w:type="dxa" w:w="3024"/>
            <w:vAlign w:val="center"/>
          </w:tcPr>
          <w:p>
            <w:r/>
            <w:r>
              <w:rPr>
                <w:rFonts w:ascii="Times New Roman" w:hAnsi="Times New Roman" w:eastAsia="Times New Roman"/>
                <w:b w:val="0"/>
                <w:i w:val="0"/>
                <w:sz w:val="24"/>
              </w:rPr>
              <w:t>Hình thành một chuỗi giải pháp liên thông để dữ liệu nguồn được thu thập, chuẩn hóa và kết xuất theo cấu trúc thống nhất trước khi đưa vào khai thác. Các đầu ra phục vụ điều hành được tổ chức lại dưới dạng file Excel, bản ghi SQLite và dữ liệu trung gian, giúp giảm phụ thuộc vào thao tác thủ công và tạo điều kiện kiểm tra lại theo nguồn dữ liệu. [Điền số liệu định lượng về thời gian tiết kiệm hoặc số bước thao tác được cắt giảm]</w:t>
            </w:r>
          </w:p>
        </w:tc>
      </w:tr>
      <w:tr>
        <w:tc>
          <w:tcPr>
            <w:tcW w:type="dxa" w:w="3024"/>
            <w:vAlign w:val="center"/>
          </w:tcPr>
          <w:p>
            <w:pPr>
              <w:jc w:val="center"/>
            </w:pPr>
            <w:r/>
            <w:r>
              <w:rPr>
                <w:rFonts w:ascii="Times New Roman" w:hAnsi="Times New Roman" w:eastAsia="Times New Roman"/>
                <w:b w:val="0"/>
                <w:i w:val="0"/>
                <w:sz w:val="24"/>
              </w:rPr>
              <w:t>2</w:t>
            </w:r>
          </w:p>
        </w:tc>
        <w:tc>
          <w:tcPr>
            <w:tcW w:type="dxa" w:w="3024"/>
            <w:vAlign w:val="center"/>
          </w:tcPr>
          <w:p>
            <w:r/>
            <w:r>
              <w:rPr>
                <w:rFonts w:ascii="Times New Roman" w:hAnsi="Times New Roman" w:eastAsia="Times New Roman"/>
                <w:b w:val="0"/>
                <w:i w:val="0"/>
                <w:sz w:val="24"/>
              </w:rPr>
              <w:t>Công tác theo dõi chỉ tiêu chất lượng, tiến độ xử lý phiếu BRCD/PTTB và kết quả xử lý SHC phụ thuộc nhiều vào việc mở, đối chiếu và tổng hợp thủ công từ nhiều tệp riêng lẻ; việc phát hiện điểm nghẽn hoặc truy tới chi tiết theo tổ, theo NVKT còn chậm và phân tán.</w:t>
            </w:r>
          </w:p>
        </w:tc>
        <w:tc>
          <w:tcPr>
            <w:tcW w:type="dxa" w:w="3024"/>
            <w:vAlign w:val="center"/>
          </w:tcPr>
          <w:p>
            <w:r/>
            <w:r>
              <w:rPr>
                <w:rFonts w:ascii="Times New Roman" w:hAnsi="Times New Roman" w:eastAsia="Times New Roman"/>
                <w:b w:val="0"/>
                <w:i w:val="0"/>
                <w:sz w:val="24"/>
              </w:rPr>
              <w:t>Dashboard nội bộ cho phép khai thác tập trung các phân hệ C1, I1.5, SHC, BRCD, PTTB, KPI NVKT, quang chủ động, vật tư và các dữ liệu liên quan trên cùng một nền tảng có đăng nhập. Người dùng có thể xem tổng hợp, đi sâu tới dữ liệu chi tiết, theo dõi snapshot vòng đời phiếu và tải file nguồn ngay trên giao diện, qua đó hỗ trợ điều hành nhanh hơn và nhất quán hơn. [Điền số liệu định lượng về mức cải thiện điều hành nếu có]</w:t>
            </w:r>
          </w:p>
        </w:tc>
      </w:tr>
    </w:tbl>
    <w:p>
      <w:pPr>
        <w:spacing w:after="80" w:before="0"/>
      </w:pPr>
      <w:r>
        <w:rPr>
          <w:rFonts w:ascii="Times New Roman" w:hAnsi="Times New Roman" w:eastAsia="Times New Roman"/>
          <w:b w:val="0"/>
          <w:i w:val="0"/>
          <w:sz w:val="26"/>
        </w:rPr>
      </w:r>
    </w:p>
    <w:p>
      <w:pPr>
        <w:spacing w:after="120" w:before="0"/>
      </w:pPr>
      <w:r>
        <w:rPr>
          <w:rFonts w:ascii="Times New Roman" w:hAnsi="Times New Roman" w:eastAsia="Times New Roman"/>
          <w:b/>
          <w:i w:val="0"/>
          <w:sz w:val="26"/>
        </w:rPr>
        <w:t>V. Tác giả tự đánh giá các tiêu chí xét công nhận sáng kiến (theo ý kiến của tác giả)</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68"/>
        <w:gridCol w:w="2268"/>
        <w:gridCol w:w="2268"/>
        <w:gridCol w:w="2268"/>
      </w:tblGrid>
      <w:tr>
        <w:tc>
          <w:tcPr>
            <w:tcW w:type="dxa" w:w="2268"/>
            <w:vAlign w:val="center"/>
          </w:tcPr>
          <w:p>
            <w:pPr>
              <w:jc w:val="center"/>
            </w:pPr>
            <w:r/>
            <w:r>
              <w:rPr>
                <w:rFonts w:ascii="Times New Roman" w:hAnsi="Times New Roman" w:eastAsia="Times New Roman"/>
                <w:b/>
                <w:i w:val="0"/>
                <w:sz w:val="24"/>
              </w:rPr>
              <w:t>TT</w:t>
            </w:r>
          </w:p>
        </w:tc>
        <w:tc>
          <w:tcPr>
            <w:tcW w:type="dxa" w:w="2268"/>
            <w:vAlign w:val="center"/>
          </w:tcPr>
          <w:p>
            <w:pPr>
              <w:jc w:val="center"/>
            </w:pPr>
            <w:r/>
            <w:r>
              <w:rPr>
                <w:rFonts w:ascii="Times New Roman" w:hAnsi="Times New Roman" w:eastAsia="Times New Roman"/>
                <w:b/>
                <w:i w:val="0"/>
                <w:sz w:val="24"/>
              </w:rPr>
              <w:t>Tiêu chí</w:t>
            </w:r>
          </w:p>
        </w:tc>
        <w:tc>
          <w:tcPr>
            <w:tcW w:type="dxa" w:w="2268"/>
            <w:vAlign w:val="center"/>
          </w:tcPr>
          <w:p>
            <w:pPr>
              <w:jc w:val="center"/>
            </w:pPr>
            <w:r/>
            <w:r>
              <w:rPr>
                <w:rFonts w:ascii="Times New Roman" w:hAnsi="Times New Roman" w:eastAsia="Times New Roman"/>
                <w:b/>
                <w:i w:val="0"/>
                <w:sz w:val="24"/>
              </w:rPr>
              <w:t>Hướng dẫn cách tự đánh giá</w:t>
            </w:r>
          </w:p>
        </w:tc>
        <w:tc>
          <w:tcPr>
            <w:tcW w:type="dxa" w:w="2268"/>
            <w:vAlign w:val="center"/>
          </w:tcPr>
          <w:p>
            <w:pPr>
              <w:jc w:val="center"/>
            </w:pPr>
            <w:r/>
            <w:r>
              <w:rPr>
                <w:rFonts w:ascii="Times New Roman" w:hAnsi="Times New Roman" w:eastAsia="Times New Roman"/>
                <w:b/>
                <w:i w:val="0"/>
                <w:sz w:val="24"/>
              </w:rPr>
              <w:t>Tác giả tự đánh giá</w:t>
            </w:r>
          </w:p>
        </w:tc>
      </w:tr>
      <w:tr>
        <w:tc>
          <w:tcPr>
            <w:tcW w:type="dxa" w:w="2268"/>
            <w:vAlign w:val="center"/>
          </w:tcPr>
          <w:p>
            <w:pPr>
              <w:jc w:val="center"/>
            </w:pPr>
            <w:r/>
            <w:r>
              <w:rPr>
                <w:rFonts w:ascii="Times New Roman" w:hAnsi="Times New Roman" w:eastAsia="Times New Roman"/>
                <w:b w:val="0"/>
                <w:i w:val="0"/>
                <w:sz w:val="24"/>
              </w:rPr>
              <w:t>1</w:t>
            </w:r>
          </w:p>
        </w:tc>
        <w:tc>
          <w:tcPr>
            <w:tcW w:type="dxa" w:w="2268"/>
            <w:vAlign w:val="center"/>
          </w:tcPr>
          <w:p>
            <w:r/>
            <w:r>
              <w:rPr>
                <w:rFonts w:ascii="Times New Roman" w:hAnsi="Times New Roman" w:eastAsia="Times New Roman"/>
                <w:b w:val="0"/>
                <w:i w:val="0"/>
                <w:sz w:val="24"/>
              </w:rPr>
              <w:t>Tính mới: chọn 1 trong 2 mục 1.1 hoặc 1.2</w:t>
            </w:r>
          </w:p>
        </w:tc>
        <w:tc>
          <w:tcPr>
            <w:tcW w:type="dxa" w:w="2268"/>
            <w:vAlign w:val="center"/>
          </w:tcPr>
          <w:p>
            <w:r/>
            <w:r>
              <w:rPr>
                <w:rFonts w:ascii="Times New Roman" w:hAnsi="Times New Roman" w:eastAsia="Times New Roman"/>
                <w:b w:val="0"/>
                <w:i w:val="0"/>
                <w:sz w:val="24"/>
              </w:rPr>
              <w:t>Đánh dấu (x) vào 1 trong 2 mục</w:t>
            </w:r>
          </w:p>
        </w:tc>
        <w:tc>
          <w:tcPr>
            <w:tcW w:type="dxa" w:w="2268"/>
            <w:vAlign w:val="center"/>
          </w:tcPr>
          <w:p>
            <w:r/>
            <w:r>
              <w:rPr>
                <w:rFonts w:ascii="Times New Roman" w:hAnsi="Times New Roman" w:eastAsia="Times New Roman"/>
                <w:b w:val="0"/>
                <w:i w:val="0"/>
                <w:sz w:val="24"/>
              </w:rPr>
            </w:r>
          </w:p>
        </w:tc>
      </w:tr>
      <w:tr>
        <w:tc>
          <w:tcPr>
            <w:tcW w:type="dxa" w:w="2268"/>
            <w:vAlign w:val="center"/>
          </w:tcPr>
          <w:p>
            <w:pPr>
              <w:jc w:val="center"/>
            </w:pPr>
            <w:r/>
            <w:r>
              <w:rPr>
                <w:rFonts w:ascii="Times New Roman" w:hAnsi="Times New Roman" w:eastAsia="Times New Roman"/>
                <w:b w:val="0"/>
                <w:i w:val="0"/>
                <w:sz w:val="24"/>
              </w:rPr>
              <w:t>1.1</w:t>
            </w:r>
          </w:p>
        </w:tc>
        <w:tc>
          <w:tcPr>
            <w:tcW w:type="dxa" w:w="2268"/>
            <w:vAlign w:val="center"/>
          </w:tcPr>
          <w:p>
            <w:r/>
            <w:r>
              <w:rPr>
                <w:rFonts w:ascii="Times New Roman" w:hAnsi="Times New Roman" w:eastAsia="Times New Roman"/>
                <w:b w:val="0"/>
                <w:i w:val="0"/>
                <w:sz w:val="24"/>
              </w:rPr>
              <w:t>Giải pháp có nội dung mới tại đơn vị</w:t>
            </w:r>
          </w:p>
        </w:tc>
        <w:tc>
          <w:tcPr>
            <w:tcW w:type="dxa" w:w="2268"/>
            <w:vAlign w:val="center"/>
          </w:tcPr>
          <w:p>
            <w:r/>
            <w:r>
              <w:rPr>
                <w:rFonts w:ascii="Times New Roman" w:hAnsi="Times New Roman" w:eastAsia="Times New Roman"/>
                <w:b w:val="0"/>
                <w:i w:val="0"/>
                <w:sz w:val="24"/>
              </w:rPr>
            </w:r>
          </w:p>
        </w:tc>
        <w:tc>
          <w:tcPr>
            <w:tcW w:type="dxa" w:w="2268"/>
            <w:vAlign w:val="center"/>
          </w:tcPr>
          <w:p>
            <w:r/>
            <w:r>
              <w:rPr>
                <w:rFonts w:ascii="Times New Roman" w:hAnsi="Times New Roman" w:eastAsia="Times New Roman"/>
                <w:b w:val="0"/>
                <w:i w:val="0"/>
                <w:sz w:val="24"/>
              </w:rPr>
            </w:r>
          </w:p>
        </w:tc>
      </w:tr>
      <w:tr>
        <w:tc>
          <w:tcPr>
            <w:tcW w:type="dxa" w:w="2268"/>
            <w:vAlign w:val="center"/>
          </w:tcPr>
          <w:p>
            <w:pPr>
              <w:jc w:val="center"/>
            </w:pPr>
            <w:r/>
            <w:r>
              <w:rPr>
                <w:rFonts w:ascii="Times New Roman" w:hAnsi="Times New Roman" w:eastAsia="Times New Roman"/>
                <w:b w:val="0"/>
                <w:i w:val="0"/>
                <w:sz w:val="24"/>
              </w:rPr>
              <w:t>1.2</w:t>
            </w:r>
          </w:p>
        </w:tc>
        <w:tc>
          <w:tcPr>
            <w:tcW w:type="dxa" w:w="2268"/>
            <w:vAlign w:val="center"/>
          </w:tcPr>
          <w:p>
            <w:r/>
            <w:r>
              <w:rPr>
                <w:rFonts w:ascii="Times New Roman" w:hAnsi="Times New Roman" w:eastAsia="Times New Roman"/>
                <w:b w:val="0"/>
                <w:i w:val="0"/>
                <w:sz w:val="24"/>
              </w:rPr>
              <w:t>Giải pháp có nội dung mới tại Tập đoàn</w:t>
            </w:r>
          </w:p>
        </w:tc>
        <w:tc>
          <w:tcPr>
            <w:tcW w:type="dxa" w:w="2268"/>
            <w:vAlign w:val="center"/>
          </w:tcPr>
          <w:p>
            <w:r/>
            <w:r>
              <w:rPr>
                <w:rFonts w:ascii="Times New Roman" w:hAnsi="Times New Roman" w:eastAsia="Times New Roman"/>
                <w:b w:val="0"/>
                <w:i w:val="0"/>
                <w:sz w:val="24"/>
              </w:rPr>
            </w:r>
          </w:p>
        </w:tc>
        <w:tc>
          <w:tcPr>
            <w:tcW w:type="dxa" w:w="2268"/>
            <w:vAlign w:val="center"/>
          </w:tcPr>
          <w:p>
            <w:r/>
            <w:r>
              <w:rPr>
                <w:rFonts w:ascii="Times New Roman" w:hAnsi="Times New Roman" w:eastAsia="Times New Roman"/>
                <w:b w:val="0"/>
                <w:i w:val="0"/>
                <w:sz w:val="24"/>
              </w:rPr>
            </w:r>
          </w:p>
        </w:tc>
      </w:tr>
      <w:tr>
        <w:tc>
          <w:tcPr>
            <w:tcW w:type="dxa" w:w="2268"/>
            <w:vAlign w:val="center"/>
          </w:tcPr>
          <w:p>
            <w:pPr>
              <w:jc w:val="center"/>
            </w:pPr>
            <w:r/>
            <w:r>
              <w:rPr>
                <w:rFonts w:ascii="Times New Roman" w:hAnsi="Times New Roman" w:eastAsia="Times New Roman"/>
                <w:b w:val="0"/>
                <w:i w:val="0"/>
                <w:sz w:val="24"/>
              </w:rPr>
              <w:t>2</w:t>
            </w:r>
          </w:p>
        </w:tc>
        <w:tc>
          <w:tcPr>
            <w:tcW w:type="dxa" w:w="2268"/>
            <w:vAlign w:val="center"/>
          </w:tcPr>
          <w:p>
            <w:r/>
            <w:r>
              <w:rPr>
                <w:rFonts w:ascii="Times New Roman" w:hAnsi="Times New Roman" w:eastAsia="Times New Roman"/>
                <w:b w:val="0"/>
                <w:i w:val="0"/>
                <w:sz w:val="24"/>
              </w:rPr>
              <w:t>Tính sáng tạo, đột phá: Mang tính đổi mới cao, có tính sáng tạo vượt trội, chưa từng có trong nội bộ hoặc thị trường/khối ngành; tạo ra cách tiếp cận mới so với thông lệ; có khả năng tạo bước nhảy vọt về năng suất, chất lượng, doanh thu hoặc hiệu quả điều hành; tạo xu hướng mới, không chỉ là cải tiến nhỏ lẻ</w:t>
            </w:r>
          </w:p>
        </w:tc>
        <w:tc>
          <w:tcPr>
            <w:tcW w:type="dxa" w:w="2268"/>
            <w:vAlign w:val="center"/>
          </w:tcPr>
          <w:p>
            <w:r/>
            <w:r>
              <w:rPr>
                <w:rFonts w:ascii="Times New Roman" w:hAnsi="Times New Roman" w:eastAsia="Times New Roman"/>
                <w:b w:val="0"/>
                <w:i w:val="0"/>
                <w:sz w:val="24"/>
              </w:rPr>
              <w:t>Nếu có tính sáng tạo, đột phá thì đánh giá bằng mô tả ngắn</w:t>
            </w:r>
          </w:p>
        </w:tc>
        <w:tc>
          <w:tcPr>
            <w:tcW w:type="dxa" w:w="2268"/>
            <w:vAlign w:val="center"/>
          </w:tcPr>
          <w:p>
            <w:r/>
            <w:r>
              <w:rPr>
                <w:rFonts w:ascii="Times New Roman" w:hAnsi="Times New Roman" w:eastAsia="Times New Roman"/>
                <w:b w:val="0"/>
                <w:i w:val="0"/>
                <w:sz w:val="24"/>
              </w:rPr>
            </w:r>
          </w:p>
        </w:tc>
      </w:tr>
      <w:tr>
        <w:tc>
          <w:tcPr>
            <w:tcW w:type="dxa" w:w="2268"/>
            <w:vAlign w:val="center"/>
          </w:tcPr>
          <w:p>
            <w:pPr>
              <w:jc w:val="center"/>
            </w:pPr>
            <w:r/>
            <w:r>
              <w:rPr>
                <w:rFonts w:ascii="Times New Roman" w:hAnsi="Times New Roman" w:eastAsia="Times New Roman"/>
                <w:b w:val="0"/>
                <w:i w:val="0"/>
                <w:sz w:val="24"/>
              </w:rPr>
              <w:t>3</w:t>
            </w:r>
          </w:p>
        </w:tc>
        <w:tc>
          <w:tcPr>
            <w:tcW w:type="dxa" w:w="2268"/>
            <w:vAlign w:val="center"/>
          </w:tcPr>
          <w:p>
            <w:r/>
            <w:r>
              <w:rPr>
                <w:rFonts w:ascii="Times New Roman" w:hAnsi="Times New Roman" w:eastAsia="Times New Roman"/>
                <w:b w:val="0"/>
                <w:i w:val="0"/>
                <w:sz w:val="24"/>
              </w:rPr>
              <w:t>Phạm vi đã triển khai áp dụng: chọn 1 trong 4 mục sau</w:t>
            </w:r>
          </w:p>
        </w:tc>
        <w:tc>
          <w:tcPr>
            <w:tcW w:type="dxa" w:w="2268"/>
            <w:vAlign w:val="center"/>
          </w:tcPr>
          <w:p>
            <w:r/>
            <w:r>
              <w:rPr>
                <w:rFonts w:ascii="Times New Roman" w:hAnsi="Times New Roman" w:eastAsia="Times New Roman"/>
                <w:b w:val="0"/>
                <w:i w:val="0"/>
                <w:sz w:val="24"/>
              </w:rPr>
              <w:t>Đánh dấu vào 1 trong 4 mục</w:t>
            </w:r>
          </w:p>
        </w:tc>
        <w:tc>
          <w:tcPr>
            <w:tcW w:type="dxa" w:w="2268"/>
            <w:vAlign w:val="center"/>
          </w:tcPr>
          <w:p>
            <w:r/>
            <w:r>
              <w:rPr>
                <w:rFonts w:ascii="Times New Roman" w:hAnsi="Times New Roman" w:eastAsia="Times New Roman"/>
                <w:b w:val="0"/>
                <w:i w:val="0"/>
                <w:sz w:val="24"/>
              </w:rPr>
            </w:r>
          </w:p>
        </w:tc>
      </w:tr>
      <w:tr>
        <w:tc>
          <w:tcPr>
            <w:tcW w:type="dxa" w:w="2268"/>
            <w:vAlign w:val="center"/>
          </w:tcPr>
          <w:p>
            <w:pPr>
              <w:jc w:val="center"/>
            </w:pPr>
            <w:r/>
            <w:r>
              <w:rPr>
                <w:rFonts w:ascii="Times New Roman" w:hAnsi="Times New Roman" w:eastAsia="Times New Roman"/>
                <w:b w:val="0"/>
                <w:i w:val="0"/>
                <w:sz w:val="24"/>
              </w:rPr>
              <w:t>3.1</w:t>
            </w:r>
          </w:p>
        </w:tc>
        <w:tc>
          <w:tcPr>
            <w:tcW w:type="dxa" w:w="2268"/>
            <w:vAlign w:val="center"/>
          </w:tcPr>
          <w:p>
            <w:r/>
            <w:r>
              <w:rPr>
                <w:rFonts w:ascii="Times New Roman" w:hAnsi="Times New Roman" w:eastAsia="Times New Roman"/>
                <w:b w:val="0"/>
                <w:i w:val="0"/>
                <w:sz w:val="24"/>
              </w:rPr>
              <w:t>Sáng kiến này đã được áp dụng tại 1 đơn vị cấp cơ sở (cấp Đài, Xưởng, Phòng/Ban, Trung tâm trực thuộc đơn vị)</w:t>
            </w:r>
          </w:p>
        </w:tc>
        <w:tc>
          <w:tcPr>
            <w:tcW w:type="dxa" w:w="2268"/>
            <w:vAlign w:val="center"/>
          </w:tcPr>
          <w:p>
            <w:r/>
            <w:r>
              <w:rPr>
                <w:rFonts w:ascii="Times New Roman" w:hAnsi="Times New Roman" w:eastAsia="Times New Roman"/>
                <w:b w:val="0"/>
                <w:i w:val="0"/>
                <w:sz w:val="24"/>
              </w:rPr>
            </w:r>
          </w:p>
        </w:tc>
        <w:tc>
          <w:tcPr>
            <w:tcW w:type="dxa" w:w="2268"/>
            <w:vAlign w:val="center"/>
          </w:tcPr>
          <w:p>
            <w:r/>
            <w:r>
              <w:rPr>
                <w:rFonts w:ascii="Times New Roman" w:hAnsi="Times New Roman" w:eastAsia="Times New Roman"/>
                <w:b w:val="0"/>
                <w:i w:val="0"/>
                <w:sz w:val="24"/>
              </w:rPr>
            </w:r>
          </w:p>
        </w:tc>
      </w:tr>
      <w:tr>
        <w:tc>
          <w:tcPr>
            <w:tcW w:type="dxa" w:w="2268"/>
            <w:vAlign w:val="center"/>
          </w:tcPr>
          <w:p>
            <w:pPr>
              <w:jc w:val="center"/>
            </w:pPr>
            <w:r/>
            <w:r>
              <w:rPr>
                <w:rFonts w:ascii="Times New Roman" w:hAnsi="Times New Roman" w:eastAsia="Times New Roman"/>
                <w:b w:val="0"/>
                <w:i w:val="0"/>
                <w:sz w:val="24"/>
              </w:rPr>
              <w:t>3.2</w:t>
            </w:r>
          </w:p>
        </w:tc>
        <w:tc>
          <w:tcPr>
            <w:tcW w:type="dxa" w:w="2268"/>
            <w:vAlign w:val="center"/>
          </w:tcPr>
          <w:p>
            <w:r/>
            <w:r>
              <w:rPr>
                <w:rFonts w:ascii="Times New Roman" w:hAnsi="Times New Roman" w:eastAsia="Times New Roman"/>
                <w:b w:val="0"/>
                <w:i w:val="0"/>
                <w:sz w:val="24"/>
              </w:rPr>
              <w:t>Sáng kiến này đã được áp dụng trong phạm vi đơn vị</w:t>
            </w:r>
          </w:p>
        </w:tc>
        <w:tc>
          <w:tcPr>
            <w:tcW w:type="dxa" w:w="2268"/>
            <w:vAlign w:val="center"/>
          </w:tcPr>
          <w:p>
            <w:r/>
            <w:r>
              <w:rPr>
                <w:rFonts w:ascii="Times New Roman" w:hAnsi="Times New Roman" w:eastAsia="Times New Roman"/>
                <w:b w:val="0"/>
                <w:i w:val="0"/>
                <w:sz w:val="24"/>
              </w:rPr>
            </w:r>
          </w:p>
        </w:tc>
        <w:tc>
          <w:tcPr>
            <w:tcW w:type="dxa" w:w="2268"/>
            <w:vAlign w:val="center"/>
          </w:tcPr>
          <w:p>
            <w:r/>
            <w:r>
              <w:rPr>
                <w:rFonts w:ascii="Times New Roman" w:hAnsi="Times New Roman" w:eastAsia="Times New Roman"/>
                <w:b w:val="0"/>
                <w:i w:val="0"/>
                <w:sz w:val="24"/>
              </w:rPr>
            </w:r>
          </w:p>
        </w:tc>
      </w:tr>
      <w:tr>
        <w:tc>
          <w:tcPr>
            <w:tcW w:type="dxa" w:w="2268"/>
            <w:vAlign w:val="center"/>
          </w:tcPr>
          <w:p>
            <w:pPr>
              <w:jc w:val="center"/>
            </w:pPr>
            <w:r/>
            <w:r>
              <w:rPr>
                <w:rFonts w:ascii="Times New Roman" w:hAnsi="Times New Roman" w:eastAsia="Times New Roman"/>
                <w:b w:val="0"/>
                <w:i w:val="0"/>
                <w:sz w:val="24"/>
              </w:rPr>
              <w:t>3.3</w:t>
            </w:r>
          </w:p>
        </w:tc>
        <w:tc>
          <w:tcPr>
            <w:tcW w:type="dxa" w:w="2268"/>
            <w:vAlign w:val="center"/>
          </w:tcPr>
          <w:p>
            <w:r/>
            <w:r>
              <w:rPr>
                <w:rFonts w:ascii="Times New Roman" w:hAnsi="Times New Roman" w:eastAsia="Times New Roman"/>
                <w:b w:val="0"/>
                <w:i w:val="0"/>
                <w:sz w:val="24"/>
              </w:rPr>
              <w:t>Sáng kiến này đã áp dụng từ 2 ĐV thành viên đến dưới 1/2 số ĐV thành viên của Tập đoàn</w:t>
            </w:r>
          </w:p>
        </w:tc>
        <w:tc>
          <w:tcPr>
            <w:tcW w:type="dxa" w:w="2268"/>
            <w:vAlign w:val="center"/>
          </w:tcPr>
          <w:p>
            <w:r/>
            <w:r>
              <w:rPr>
                <w:rFonts w:ascii="Times New Roman" w:hAnsi="Times New Roman" w:eastAsia="Times New Roman"/>
                <w:b w:val="0"/>
                <w:i w:val="0"/>
                <w:sz w:val="24"/>
              </w:rPr>
            </w:r>
          </w:p>
        </w:tc>
        <w:tc>
          <w:tcPr>
            <w:tcW w:type="dxa" w:w="2268"/>
            <w:vAlign w:val="center"/>
          </w:tcPr>
          <w:p>
            <w:r/>
            <w:r>
              <w:rPr>
                <w:rFonts w:ascii="Times New Roman" w:hAnsi="Times New Roman" w:eastAsia="Times New Roman"/>
                <w:b w:val="0"/>
                <w:i w:val="0"/>
                <w:sz w:val="24"/>
              </w:rPr>
            </w:r>
          </w:p>
        </w:tc>
      </w:tr>
      <w:tr>
        <w:tc>
          <w:tcPr>
            <w:tcW w:type="dxa" w:w="2268"/>
            <w:vAlign w:val="center"/>
          </w:tcPr>
          <w:p>
            <w:pPr>
              <w:jc w:val="center"/>
            </w:pPr>
            <w:r/>
            <w:r>
              <w:rPr>
                <w:rFonts w:ascii="Times New Roman" w:hAnsi="Times New Roman" w:eastAsia="Times New Roman"/>
                <w:b w:val="0"/>
                <w:i w:val="0"/>
                <w:sz w:val="24"/>
              </w:rPr>
              <w:t>3.4</w:t>
            </w:r>
          </w:p>
        </w:tc>
        <w:tc>
          <w:tcPr>
            <w:tcW w:type="dxa" w:w="2268"/>
            <w:vAlign w:val="center"/>
          </w:tcPr>
          <w:p>
            <w:r/>
            <w:r>
              <w:rPr>
                <w:rFonts w:ascii="Times New Roman" w:hAnsi="Times New Roman" w:eastAsia="Times New Roman"/>
                <w:b w:val="0"/>
                <w:i w:val="0"/>
                <w:sz w:val="24"/>
              </w:rPr>
              <w:t>Sáng kiến này đã áp dụng trên 1/2 số đơn vị thành viên trong Tập đoàn</w:t>
            </w:r>
          </w:p>
        </w:tc>
        <w:tc>
          <w:tcPr>
            <w:tcW w:type="dxa" w:w="2268"/>
            <w:vAlign w:val="center"/>
          </w:tcPr>
          <w:p>
            <w:r/>
            <w:r>
              <w:rPr>
                <w:rFonts w:ascii="Times New Roman" w:hAnsi="Times New Roman" w:eastAsia="Times New Roman"/>
                <w:b w:val="0"/>
                <w:i w:val="0"/>
                <w:sz w:val="24"/>
              </w:rPr>
            </w:r>
          </w:p>
        </w:tc>
        <w:tc>
          <w:tcPr>
            <w:tcW w:type="dxa" w:w="2268"/>
            <w:vAlign w:val="center"/>
          </w:tcPr>
          <w:p>
            <w:r/>
            <w:r>
              <w:rPr>
                <w:rFonts w:ascii="Times New Roman" w:hAnsi="Times New Roman" w:eastAsia="Times New Roman"/>
                <w:b w:val="0"/>
                <w:i w:val="0"/>
                <w:sz w:val="24"/>
              </w:rPr>
            </w:r>
          </w:p>
        </w:tc>
      </w:tr>
      <w:tr>
        <w:tc>
          <w:tcPr>
            <w:tcW w:type="dxa" w:w="2268"/>
            <w:vAlign w:val="center"/>
          </w:tcPr>
          <w:p>
            <w:pPr>
              <w:jc w:val="center"/>
            </w:pPr>
            <w:r/>
            <w:r>
              <w:rPr>
                <w:rFonts w:ascii="Times New Roman" w:hAnsi="Times New Roman" w:eastAsia="Times New Roman"/>
                <w:b w:val="0"/>
                <w:i w:val="0"/>
                <w:sz w:val="24"/>
              </w:rPr>
              <w:t>4</w:t>
            </w:r>
          </w:p>
        </w:tc>
        <w:tc>
          <w:tcPr>
            <w:tcW w:type="dxa" w:w="2268"/>
            <w:vAlign w:val="center"/>
          </w:tcPr>
          <w:p>
            <w:r/>
            <w:r>
              <w:rPr>
                <w:rFonts w:ascii="Times New Roman" w:hAnsi="Times New Roman" w:eastAsia="Times New Roman"/>
                <w:b w:val="0"/>
                <w:i w:val="0"/>
                <w:sz w:val="24"/>
              </w:rPr>
              <w:t>Tính hiệu quả - Lợi ích thu được khi áp dụng sáng kiến: chọn 1 trong 2 mục 4.1 hoặc 4.2 dưới đây</w:t>
            </w:r>
          </w:p>
        </w:tc>
        <w:tc>
          <w:tcPr>
            <w:tcW w:type="dxa" w:w="2268"/>
            <w:vAlign w:val="center"/>
          </w:tcPr>
          <w:p>
            <w:r/>
            <w:r>
              <w:rPr>
                <w:rFonts w:ascii="Times New Roman" w:hAnsi="Times New Roman" w:eastAsia="Times New Roman"/>
                <w:b w:val="0"/>
                <w:i w:val="0"/>
                <w:sz w:val="24"/>
              </w:rPr>
              <w:t>Chọn mục nào thì đánh giá hiệu quả tại mục đó</w:t>
            </w:r>
          </w:p>
        </w:tc>
        <w:tc>
          <w:tcPr>
            <w:tcW w:type="dxa" w:w="2268"/>
            <w:vAlign w:val="center"/>
          </w:tcPr>
          <w:p>
            <w:r/>
            <w:r>
              <w:rPr>
                <w:rFonts w:ascii="Times New Roman" w:hAnsi="Times New Roman" w:eastAsia="Times New Roman"/>
                <w:b w:val="0"/>
                <w:i w:val="0"/>
                <w:sz w:val="24"/>
              </w:rPr>
            </w:r>
          </w:p>
        </w:tc>
      </w:tr>
      <w:tr>
        <w:tc>
          <w:tcPr>
            <w:tcW w:type="dxa" w:w="2268"/>
            <w:vAlign w:val="center"/>
          </w:tcPr>
          <w:p>
            <w:pPr>
              <w:jc w:val="center"/>
            </w:pPr>
            <w:r/>
            <w:r>
              <w:rPr>
                <w:rFonts w:ascii="Times New Roman" w:hAnsi="Times New Roman" w:eastAsia="Times New Roman"/>
                <w:b w:val="0"/>
                <w:i w:val="0"/>
                <w:sz w:val="24"/>
              </w:rPr>
              <w:t>4.1</w:t>
            </w:r>
          </w:p>
        </w:tc>
        <w:tc>
          <w:tcPr>
            <w:tcW w:type="dxa" w:w="2268"/>
            <w:vAlign w:val="center"/>
          </w:tcPr>
          <w:p>
            <w:r/>
            <w:r>
              <w:rPr>
                <w:rFonts w:ascii="Times New Roman" w:hAnsi="Times New Roman" w:eastAsia="Times New Roman"/>
                <w:b w:val="0"/>
                <w:i w:val="0"/>
                <w:sz w:val="24"/>
              </w:rPr>
              <w:t>Mang lại hiệu quả trong đơn vị, ví dụ tăng năng suất lao động, tiết kiệm chi phí, cải tiến quy trình, giảm thao tác, tối ưu nguồn lực nội bộ</w:t>
            </w:r>
          </w:p>
        </w:tc>
        <w:tc>
          <w:tcPr>
            <w:tcW w:type="dxa" w:w="2268"/>
            <w:vAlign w:val="center"/>
          </w:tcPr>
          <w:p>
            <w:r/>
            <w:r>
              <w:rPr>
                <w:rFonts w:ascii="Times New Roman" w:hAnsi="Times New Roman" w:eastAsia="Times New Roman"/>
                <w:b w:val="0"/>
                <w:i w:val="0"/>
                <w:sz w:val="24"/>
              </w:rPr>
              <w:t>Có thể ước tính hoặc quy đổi được GTLL ra tiền của 01 năm theo cách gián tiếp</w:t>
            </w:r>
          </w:p>
        </w:tc>
        <w:tc>
          <w:tcPr>
            <w:tcW w:type="dxa" w:w="2268"/>
            <w:vAlign w:val="center"/>
          </w:tcPr>
          <w:p>
            <w:r/>
            <w:r>
              <w:rPr>
                <w:rFonts w:ascii="Times New Roman" w:hAnsi="Times New Roman" w:eastAsia="Times New Roman"/>
                <w:b w:val="0"/>
                <w:i w:val="0"/>
                <w:sz w:val="24"/>
              </w:rPr>
            </w:r>
          </w:p>
        </w:tc>
      </w:tr>
      <w:tr>
        <w:tc>
          <w:tcPr>
            <w:tcW w:type="dxa" w:w="2268"/>
            <w:vAlign w:val="center"/>
          </w:tcPr>
          <w:p>
            <w:pPr>
              <w:jc w:val="center"/>
            </w:pPr>
            <w:r/>
            <w:r>
              <w:rPr>
                <w:rFonts w:ascii="Times New Roman" w:hAnsi="Times New Roman" w:eastAsia="Times New Roman"/>
                <w:b w:val="0"/>
                <w:i w:val="0"/>
                <w:sz w:val="24"/>
              </w:rPr>
              <w:t>4.2</w:t>
            </w:r>
          </w:p>
        </w:tc>
        <w:tc>
          <w:tcPr>
            <w:tcW w:type="dxa" w:w="2268"/>
            <w:vAlign w:val="center"/>
          </w:tcPr>
          <w:p>
            <w:r/>
            <w:r>
              <w:rPr>
                <w:rFonts w:ascii="Times New Roman" w:hAnsi="Times New Roman" w:eastAsia="Times New Roman"/>
                <w:b w:val="0"/>
                <w:i w:val="0"/>
                <w:sz w:val="24"/>
              </w:rPr>
              <w:t>Mang lại hiệu quả có tính hệ thống và chuẩn hóa trong Tập đoàn: làm thay đổi tư duy quản trị, chuẩn hóa quy trình, mô hình điều hành sản xuất kinh doanh hoặc hoàn thiện quy trình phối hợp giữa các đơn vị</w:t>
            </w:r>
          </w:p>
        </w:tc>
        <w:tc>
          <w:tcPr>
            <w:tcW w:type="dxa" w:w="2268"/>
            <w:vAlign w:val="center"/>
          </w:tcPr>
          <w:p>
            <w:r/>
            <w:r>
              <w:rPr>
                <w:rFonts w:ascii="Times New Roman" w:hAnsi="Times New Roman" w:eastAsia="Times New Roman"/>
                <w:b w:val="0"/>
                <w:i w:val="0"/>
                <w:sz w:val="24"/>
              </w:rPr>
              <w:t>Có thể ước tính hoặc quy đổi được GTLL ra tiền của 01 năm theo cách gián tiếp</w:t>
            </w:r>
          </w:p>
        </w:tc>
        <w:tc>
          <w:tcPr>
            <w:tcW w:type="dxa" w:w="2268"/>
            <w:vAlign w:val="center"/>
          </w:tcPr>
          <w:p>
            <w:r/>
            <w:r>
              <w:rPr>
                <w:rFonts w:ascii="Times New Roman" w:hAnsi="Times New Roman" w:eastAsia="Times New Roman"/>
                <w:b w:val="0"/>
                <w:i w:val="0"/>
                <w:sz w:val="24"/>
              </w:rPr>
            </w:r>
          </w:p>
        </w:tc>
      </w:tr>
      <w:tr>
        <w:tc>
          <w:tcPr>
            <w:tcW w:type="dxa" w:w="2268"/>
            <w:vAlign w:val="center"/>
          </w:tcPr>
          <w:p>
            <w:pPr>
              <w:jc w:val="center"/>
            </w:pPr>
            <w:r/>
            <w:r>
              <w:rPr>
                <w:rFonts w:ascii="Times New Roman" w:hAnsi="Times New Roman" w:eastAsia="Times New Roman"/>
                <w:b w:val="0"/>
                <w:i w:val="0"/>
                <w:sz w:val="24"/>
              </w:rPr>
              <w:t>5</w:t>
            </w:r>
          </w:p>
        </w:tc>
        <w:tc>
          <w:tcPr>
            <w:tcW w:type="dxa" w:w="2268"/>
            <w:vAlign w:val="center"/>
          </w:tcPr>
          <w:p>
            <w:r/>
            <w:r>
              <w:rPr>
                <w:rFonts w:ascii="Times New Roman" w:hAnsi="Times New Roman" w:eastAsia="Times New Roman"/>
                <w:b w:val="0"/>
                <w:i w:val="0"/>
                <w:sz w:val="24"/>
              </w:rPr>
              <w:t>Hiệu quả có khả năng duy trì và tiếp tục áp dụng trong thời gian từ 1 năm trở lên</w:t>
            </w:r>
          </w:p>
        </w:tc>
        <w:tc>
          <w:tcPr>
            <w:tcW w:type="dxa" w:w="2268"/>
            <w:vAlign w:val="center"/>
          </w:tcPr>
          <w:p>
            <w:r/>
            <w:r>
              <w:rPr>
                <w:rFonts w:ascii="Times New Roman" w:hAnsi="Times New Roman" w:eastAsia="Times New Roman"/>
                <w:b w:val="0"/>
                <w:i w:val="0"/>
                <w:sz w:val="24"/>
              </w:rPr>
              <w:t>Nếu có thì đánh dấu vào</w:t>
            </w:r>
          </w:p>
        </w:tc>
        <w:tc>
          <w:tcPr>
            <w:tcW w:type="dxa" w:w="2268"/>
            <w:vAlign w:val="center"/>
          </w:tcPr>
          <w:p>
            <w:r/>
            <w:r>
              <w:rPr>
                <w:rFonts w:ascii="Times New Roman" w:hAnsi="Times New Roman" w:eastAsia="Times New Roman"/>
                <w:b w:val="0"/>
                <w:i w:val="0"/>
                <w:sz w:val="24"/>
              </w:rPr>
            </w:r>
          </w:p>
        </w:tc>
      </w:tr>
    </w:tbl>
    <w:p>
      <w:pPr>
        <w:spacing w:after="120" w:before="0"/>
      </w:pPr>
      <w:r>
        <w:rPr>
          <w:rFonts w:ascii="Times New Roman" w:hAnsi="Times New Roman" w:eastAsia="Times New Roman"/>
          <w:b w:val="0"/>
          <w:i w:val="0"/>
          <w:sz w:val="26"/>
        </w:rPr>
      </w:r>
    </w:p>
    <w:p>
      <w:pPr>
        <w:spacing w:after="200" w:before="0"/>
      </w:pPr>
      <w:r>
        <w:rPr>
          <w:rFonts w:ascii="Times New Roman" w:hAnsi="Times New Roman" w:eastAsia="Times New Roman"/>
          <w:b w:val="0"/>
          <w:i w:val="0"/>
          <w:sz w:val="26"/>
        </w:rPr>
        <w:t>Chúng tôi cam đoan những điều khai trên đây là đúng sự thật; các nội dung kỹ thuật trong hồ sơ được xây dựng trên cơ sở chức năng hiện có của phần mềm và tài liệu sáng kiến đang lưu tại đơn vị; các thông tin chưa đủ căn cứ xác định được giữ ở dạng chỗ trống để hoàn thiện sau.</w:t>
      </w:r>
    </w:p>
    <w:tbl>
      <w:tblPr>
        <w:tblW w:type="auto" w:w="0"/>
        <w:jc w:val="center"/>
        <w:tblLook w:firstColumn="1" w:firstRow="1" w:lastColumn="0" w:lastRow="0" w:noHBand="0" w:noVBand="1" w:val="04A0"/>
      </w:tblPr>
      <w:tblGrid>
        <w:gridCol w:w="4536"/>
        <w:gridCol w:w="4536"/>
      </w:tblGrid>
      <w:tr>
        <w:tc>
          <w:tcPr>
            <w:tcW w:type="dxa" w:w="4536"/>
            <w:tcBorders>
              <w:top w:val="nil"/>
              <w:left w:val="nil"/>
              <w:bottom w:val="nil"/>
              <w:right w:val="nil"/>
            </w:tcBorders>
            <w:vAlign w:val="center"/>
          </w:tcPr>
          <w:p>
            <w:pPr>
              <w:jc w:val="center"/>
            </w:pPr>
            <w:r/>
            <w:r>
              <w:rPr>
                <w:rFonts w:ascii="Times New Roman" w:hAnsi="Times New Roman" w:eastAsia="Times New Roman"/>
                <w:b w:val="0"/>
                <w:i w:val="0"/>
                <w:sz w:val="24"/>
              </w:rPr>
              <w:t>Xác nhận của đơn vị</w:t>
            </w:r>
            <w:r>
              <w:br/>
            </w:r>
            <w:r>
              <w:rPr>
                <w:rFonts w:ascii="Times New Roman" w:hAnsi="Times New Roman" w:eastAsia="Times New Roman"/>
                <w:b w:val="0"/>
                <w:i w:val="0"/>
                <w:sz w:val="24"/>
              </w:rPr>
              <w:t>[Ký, ghi rõ họ tên, đóng dấu]</w:t>
            </w:r>
          </w:p>
        </w:tc>
        <w:tc>
          <w:tcPr>
            <w:tcW w:type="dxa" w:w="4536"/>
            <w:tcBorders>
              <w:top w:val="nil"/>
              <w:left w:val="nil"/>
              <w:bottom w:val="nil"/>
              <w:right w:val="nil"/>
            </w:tcBorders>
            <w:vAlign w:val="center"/>
          </w:tcPr>
          <w:p>
            <w:pPr>
              <w:jc w:val="center"/>
            </w:pPr>
            <w:r/>
            <w:r>
              <w:rPr>
                <w:rFonts w:ascii="Times New Roman" w:hAnsi="Times New Roman" w:eastAsia="Times New Roman"/>
                <w:b w:val="0"/>
                <w:i w:val="0"/>
                <w:sz w:val="24"/>
              </w:rPr>
              <w:t>Sơn Tây, ngày ..... tháng ..... năm [Điền năm nộp hồ sơ]</w:t>
            </w:r>
            <w:r>
              <w:br/>
            </w:r>
            <w:r>
              <w:rPr>
                <w:rFonts w:ascii="Times New Roman" w:hAnsi="Times New Roman" w:eastAsia="Times New Roman"/>
                <w:b w:val="0"/>
                <w:i w:val="0"/>
                <w:sz w:val="24"/>
              </w:rPr>
              <w:t>Tác giả (chủ trì) sáng kiến</w:t>
            </w:r>
            <w:r>
              <w:br/>
            </w:r>
            <w:r>
              <w:rPr>
                <w:rFonts w:ascii="Times New Roman" w:hAnsi="Times New Roman" w:eastAsia="Times New Roman"/>
                <w:b w:val="0"/>
                <w:i w:val="0"/>
                <w:sz w:val="24"/>
              </w:rPr>
              <w:t>(Ký và ghi rõ họ tên)</w:t>
            </w:r>
          </w:p>
        </w:tc>
      </w:tr>
    </w:tbl>
    <w:sectPr w:rsidR="004A6551" w:rsidRPr="00D9510D" w:rsidSect="00E23C5C">
      <w:footerReference w:type="default" r:id="rId8"/>
      <w:type w:val="continuous"/>
      <w:pgSz w:w="11907" w:h="16840" w:code="9"/>
      <w:pgMar w:top="1134" w:right="1134" w:bottom="1134" w:left="1701" w:header="720" w:footer="720" w:gutter="0"/>
      <w:cols w:space="720"/>
      <w:docGrid w:linePitch="35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62AEF" w14:textId="77777777" w:rsidR="005A7795" w:rsidRDefault="005A7795" w:rsidP="003B3178">
      <w:r>
        <w:separator/>
      </w:r>
    </w:p>
  </w:endnote>
  <w:endnote w:type="continuationSeparator" w:id="0">
    <w:p w14:paraId="04D2AA35" w14:textId="77777777" w:rsidR="005A7795" w:rsidRDefault="005A7795" w:rsidP="003B3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670F" w14:textId="77777777" w:rsidR="003B3178" w:rsidRDefault="00085B39">
    <w:pPr>
      <w:pStyle w:val="Footer"/>
      <w:jc w:val="center"/>
    </w:pPr>
    <w:r>
      <w:fldChar w:fldCharType="begin"/>
    </w:r>
    <w:r w:rsidR="00DC608A">
      <w:instrText xml:space="preserve"> PAGE   \* MERGEFORMAT </w:instrText>
    </w:r>
    <w:r>
      <w:fldChar w:fldCharType="separate"/>
    </w:r>
    <w:r w:rsidR="00ED67D9">
      <w:rPr>
        <w:noProof/>
      </w:rPr>
      <w:t>2</w:t>
    </w:r>
    <w:r>
      <w:rPr>
        <w:noProof/>
      </w:rPr>
      <w:fldChar w:fldCharType="end"/>
    </w:r>
  </w:p>
  <w:p w14:paraId="756E9A2A" w14:textId="77777777" w:rsidR="003B3178" w:rsidRDefault="003B31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C5BFF" w14:textId="77777777" w:rsidR="005A7795" w:rsidRDefault="005A7795" w:rsidP="003B3178">
      <w:r>
        <w:separator/>
      </w:r>
    </w:p>
  </w:footnote>
  <w:footnote w:type="continuationSeparator" w:id="0">
    <w:p w14:paraId="35899602" w14:textId="77777777" w:rsidR="005A7795" w:rsidRDefault="005A7795" w:rsidP="003B31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D19CE"/>
    <w:multiLevelType w:val="multilevel"/>
    <w:tmpl w:val="6D6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001CF"/>
    <w:multiLevelType w:val="hybridMultilevel"/>
    <w:tmpl w:val="0FF46CBC"/>
    <w:lvl w:ilvl="0" w:tplc="38E055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06060E"/>
    <w:multiLevelType w:val="hybridMultilevel"/>
    <w:tmpl w:val="D0F84DD0"/>
    <w:lvl w:ilvl="0" w:tplc="902C7EA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B09D0"/>
    <w:multiLevelType w:val="hybridMultilevel"/>
    <w:tmpl w:val="2F120A78"/>
    <w:lvl w:ilvl="0" w:tplc="CBF890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194A36"/>
    <w:multiLevelType w:val="hybridMultilevel"/>
    <w:tmpl w:val="574A3B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502792A"/>
    <w:multiLevelType w:val="hybridMultilevel"/>
    <w:tmpl w:val="009A931E"/>
    <w:lvl w:ilvl="0" w:tplc="4F305252">
      <w:start w:val="1"/>
      <w:numFmt w:val="decimal"/>
      <w:lvlText w:val="%1."/>
      <w:lvlJc w:val="left"/>
      <w:pPr>
        <w:tabs>
          <w:tab w:val="num" w:pos="360"/>
        </w:tabs>
        <w:ind w:left="360" w:hanging="360"/>
      </w:pPr>
      <w:rPr>
        <w:rFonts w:hint="default"/>
        <w:b/>
        <w:i w:val="0"/>
        <w:sz w:val="24"/>
      </w:rPr>
    </w:lvl>
    <w:lvl w:ilvl="1" w:tplc="88A225C4">
      <w:numFmt w:val="none"/>
      <w:lvlText w:val=""/>
      <w:lvlJc w:val="left"/>
      <w:pPr>
        <w:tabs>
          <w:tab w:val="num" w:pos="360"/>
        </w:tabs>
      </w:pPr>
    </w:lvl>
    <w:lvl w:ilvl="2" w:tplc="3160A254">
      <w:numFmt w:val="none"/>
      <w:lvlText w:val=""/>
      <w:lvlJc w:val="left"/>
      <w:pPr>
        <w:tabs>
          <w:tab w:val="num" w:pos="360"/>
        </w:tabs>
      </w:pPr>
    </w:lvl>
    <w:lvl w:ilvl="3" w:tplc="173CB674">
      <w:numFmt w:val="none"/>
      <w:lvlText w:val=""/>
      <w:lvlJc w:val="left"/>
      <w:pPr>
        <w:tabs>
          <w:tab w:val="num" w:pos="360"/>
        </w:tabs>
      </w:pPr>
    </w:lvl>
    <w:lvl w:ilvl="4" w:tplc="F96684FA">
      <w:numFmt w:val="none"/>
      <w:lvlText w:val=""/>
      <w:lvlJc w:val="left"/>
      <w:pPr>
        <w:tabs>
          <w:tab w:val="num" w:pos="360"/>
        </w:tabs>
      </w:pPr>
    </w:lvl>
    <w:lvl w:ilvl="5" w:tplc="E026C7AE">
      <w:numFmt w:val="none"/>
      <w:lvlText w:val=""/>
      <w:lvlJc w:val="left"/>
      <w:pPr>
        <w:tabs>
          <w:tab w:val="num" w:pos="360"/>
        </w:tabs>
      </w:pPr>
    </w:lvl>
    <w:lvl w:ilvl="6" w:tplc="E1AAE72A">
      <w:numFmt w:val="none"/>
      <w:lvlText w:val=""/>
      <w:lvlJc w:val="left"/>
      <w:pPr>
        <w:tabs>
          <w:tab w:val="num" w:pos="360"/>
        </w:tabs>
      </w:pPr>
    </w:lvl>
    <w:lvl w:ilvl="7" w:tplc="CEB20AD2">
      <w:numFmt w:val="none"/>
      <w:lvlText w:val=""/>
      <w:lvlJc w:val="left"/>
      <w:pPr>
        <w:tabs>
          <w:tab w:val="num" w:pos="360"/>
        </w:tabs>
      </w:pPr>
    </w:lvl>
    <w:lvl w:ilvl="8" w:tplc="83583D58">
      <w:numFmt w:val="none"/>
      <w:lvlText w:val=""/>
      <w:lvlJc w:val="left"/>
      <w:pPr>
        <w:tabs>
          <w:tab w:val="num" w:pos="360"/>
        </w:tabs>
      </w:pPr>
    </w:lvl>
  </w:abstractNum>
  <w:abstractNum w:abstractNumId="6" w15:restartNumberingAfterBreak="0">
    <w:nsid w:val="250C6E96"/>
    <w:multiLevelType w:val="hybridMultilevel"/>
    <w:tmpl w:val="7340F928"/>
    <w:lvl w:ilvl="0" w:tplc="9D18515A">
      <w:start w:val="2"/>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1F3F42"/>
    <w:multiLevelType w:val="multilevel"/>
    <w:tmpl w:val="30F82A62"/>
    <w:lvl w:ilvl="0">
      <w:start w:val="1"/>
      <w:numFmt w:val="decimal"/>
      <w:lvlText w:val="%1"/>
      <w:lvlJc w:val="left"/>
      <w:pPr>
        <w:tabs>
          <w:tab w:val="num" w:pos="170"/>
        </w:tabs>
        <w:ind w:left="0" w:firstLine="0"/>
      </w:pPr>
      <w:rPr>
        <w:rFonts w:hint="default"/>
      </w:rPr>
    </w:lvl>
    <w:lvl w:ilvl="1">
      <w:start w:val="1"/>
      <w:numFmt w:val="decimal"/>
      <w:isLgl/>
      <w:lvlText w:val="%1.%2."/>
      <w:lvlJc w:val="left"/>
      <w:pPr>
        <w:tabs>
          <w:tab w:val="num" w:pos="1029"/>
        </w:tabs>
        <w:ind w:left="1029" w:hanging="840"/>
      </w:pPr>
      <w:rPr>
        <w:rFonts w:hint="default"/>
      </w:rPr>
    </w:lvl>
    <w:lvl w:ilvl="2">
      <w:start w:val="1"/>
      <w:numFmt w:val="decimal"/>
      <w:isLgl/>
      <w:lvlText w:val="%1.%2.%3."/>
      <w:lvlJc w:val="left"/>
      <w:pPr>
        <w:tabs>
          <w:tab w:val="num" w:pos="1218"/>
        </w:tabs>
        <w:ind w:left="1218" w:hanging="840"/>
      </w:pPr>
      <w:rPr>
        <w:rFonts w:hint="default"/>
      </w:rPr>
    </w:lvl>
    <w:lvl w:ilvl="3">
      <w:start w:val="1"/>
      <w:numFmt w:val="decimal"/>
      <w:isLgl/>
      <w:lvlText w:val="%1.%2.%3.%4."/>
      <w:lvlJc w:val="left"/>
      <w:pPr>
        <w:tabs>
          <w:tab w:val="num" w:pos="1647"/>
        </w:tabs>
        <w:ind w:left="1647" w:hanging="1080"/>
      </w:pPr>
      <w:rPr>
        <w:rFonts w:hint="default"/>
      </w:rPr>
    </w:lvl>
    <w:lvl w:ilvl="4">
      <w:start w:val="1"/>
      <w:numFmt w:val="decimal"/>
      <w:isLgl/>
      <w:lvlText w:val="%1.%2.%3.%4.%5."/>
      <w:lvlJc w:val="left"/>
      <w:pPr>
        <w:tabs>
          <w:tab w:val="num" w:pos="1836"/>
        </w:tabs>
        <w:ind w:left="1836" w:hanging="1080"/>
      </w:pPr>
      <w:rPr>
        <w:rFonts w:hint="default"/>
      </w:rPr>
    </w:lvl>
    <w:lvl w:ilvl="5">
      <w:start w:val="1"/>
      <w:numFmt w:val="decimal"/>
      <w:isLgl/>
      <w:lvlText w:val="%1.%2.%3.%4.%5.%6."/>
      <w:lvlJc w:val="left"/>
      <w:pPr>
        <w:tabs>
          <w:tab w:val="num" w:pos="2385"/>
        </w:tabs>
        <w:ind w:left="2385" w:hanging="1440"/>
      </w:pPr>
      <w:rPr>
        <w:rFonts w:hint="default"/>
      </w:rPr>
    </w:lvl>
    <w:lvl w:ilvl="6">
      <w:start w:val="1"/>
      <w:numFmt w:val="decimal"/>
      <w:isLgl/>
      <w:lvlText w:val="%1.%2.%3.%4.%5.%6.%7."/>
      <w:lvlJc w:val="left"/>
      <w:pPr>
        <w:tabs>
          <w:tab w:val="num" w:pos="2574"/>
        </w:tabs>
        <w:ind w:left="2574" w:hanging="1440"/>
      </w:pPr>
      <w:rPr>
        <w:rFonts w:hint="default"/>
      </w:rPr>
    </w:lvl>
    <w:lvl w:ilvl="7">
      <w:start w:val="1"/>
      <w:numFmt w:val="decimal"/>
      <w:isLgl/>
      <w:lvlText w:val="%1.%2.%3.%4.%5.%6.%7.%8."/>
      <w:lvlJc w:val="left"/>
      <w:pPr>
        <w:tabs>
          <w:tab w:val="num" w:pos="3123"/>
        </w:tabs>
        <w:ind w:left="3123" w:hanging="1800"/>
      </w:pPr>
      <w:rPr>
        <w:rFonts w:hint="default"/>
      </w:rPr>
    </w:lvl>
    <w:lvl w:ilvl="8">
      <w:start w:val="1"/>
      <w:numFmt w:val="decimal"/>
      <w:isLgl/>
      <w:lvlText w:val="%1.%2.%3.%4.%5.%6.%7.%8.%9."/>
      <w:lvlJc w:val="left"/>
      <w:pPr>
        <w:tabs>
          <w:tab w:val="num" w:pos="3312"/>
        </w:tabs>
        <w:ind w:left="3312" w:hanging="1800"/>
      </w:pPr>
      <w:rPr>
        <w:rFonts w:hint="default"/>
      </w:rPr>
    </w:lvl>
  </w:abstractNum>
  <w:abstractNum w:abstractNumId="8" w15:restartNumberingAfterBreak="0">
    <w:nsid w:val="276A485E"/>
    <w:multiLevelType w:val="hybridMultilevel"/>
    <w:tmpl w:val="047A0E2A"/>
    <w:lvl w:ilvl="0" w:tplc="015C857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243899"/>
    <w:multiLevelType w:val="hybridMultilevel"/>
    <w:tmpl w:val="983CCC80"/>
    <w:lvl w:ilvl="0" w:tplc="C3E244D2">
      <w:start w:val="3"/>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0" w15:restartNumberingAfterBreak="0">
    <w:nsid w:val="28C0064F"/>
    <w:multiLevelType w:val="hybridMultilevel"/>
    <w:tmpl w:val="68EC8072"/>
    <w:lvl w:ilvl="0" w:tplc="6BB804E6">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172EEE"/>
    <w:multiLevelType w:val="hybridMultilevel"/>
    <w:tmpl w:val="4E686CF2"/>
    <w:lvl w:ilvl="0" w:tplc="375AEE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457B14"/>
    <w:multiLevelType w:val="hybridMultilevel"/>
    <w:tmpl w:val="DD42BF0E"/>
    <w:lvl w:ilvl="0" w:tplc="2FB23C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BB0F24"/>
    <w:multiLevelType w:val="hybridMultilevel"/>
    <w:tmpl w:val="12801358"/>
    <w:lvl w:ilvl="0" w:tplc="CA4AED0E">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093520"/>
    <w:multiLevelType w:val="hybridMultilevel"/>
    <w:tmpl w:val="1A1C0C2E"/>
    <w:lvl w:ilvl="0" w:tplc="4D9A82F2">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CC216C2"/>
    <w:multiLevelType w:val="hybridMultilevel"/>
    <w:tmpl w:val="85243D24"/>
    <w:lvl w:ilvl="0" w:tplc="A31E4F0C">
      <w:numFmt w:val="bullet"/>
      <w:lvlText w:val="-"/>
      <w:lvlJc w:val="left"/>
      <w:pPr>
        <w:tabs>
          <w:tab w:val="num" w:pos="360"/>
        </w:tabs>
        <w:ind w:left="360" w:hanging="360"/>
      </w:pPr>
      <w:rPr>
        <w:rFonts w:ascii="Times New Roman" w:eastAsia="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404174"/>
    <w:multiLevelType w:val="singleLevel"/>
    <w:tmpl w:val="831082EA"/>
    <w:lvl w:ilvl="0">
      <w:numFmt w:val="bullet"/>
      <w:lvlText w:val="-"/>
      <w:lvlJc w:val="left"/>
      <w:pPr>
        <w:tabs>
          <w:tab w:val="num" w:pos="360"/>
        </w:tabs>
        <w:ind w:left="360" w:hanging="360"/>
      </w:pPr>
      <w:rPr>
        <w:rFonts w:ascii="Times New Roman" w:hAnsi="Times New Roman" w:hint="default"/>
        <w:b w:val="0"/>
      </w:rPr>
    </w:lvl>
  </w:abstractNum>
  <w:abstractNum w:abstractNumId="17" w15:restartNumberingAfterBreak="0">
    <w:nsid w:val="44907859"/>
    <w:multiLevelType w:val="hybridMultilevel"/>
    <w:tmpl w:val="6A829A4A"/>
    <w:lvl w:ilvl="0" w:tplc="CA4AED0E">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F766E6"/>
    <w:multiLevelType w:val="hybridMultilevel"/>
    <w:tmpl w:val="ABFA1E96"/>
    <w:lvl w:ilvl="0" w:tplc="C3B0AA60">
      <w:start w:val="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1E26A4"/>
    <w:multiLevelType w:val="hybridMultilevel"/>
    <w:tmpl w:val="FE1E907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AF71809"/>
    <w:multiLevelType w:val="hybridMultilevel"/>
    <w:tmpl w:val="AE14ABDC"/>
    <w:lvl w:ilvl="0" w:tplc="947CD3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6C36EA"/>
    <w:multiLevelType w:val="hybridMultilevel"/>
    <w:tmpl w:val="E5C2BFF4"/>
    <w:lvl w:ilvl="0" w:tplc="C1345B22">
      <w:start w:val="1"/>
      <w:numFmt w:val="decimal"/>
      <w:lvlText w:val="%1."/>
      <w:lvlJc w:val="left"/>
      <w:pPr>
        <w:tabs>
          <w:tab w:val="num" w:pos="0"/>
        </w:tabs>
        <w:ind w:left="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7C1492"/>
    <w:multiLevelType w:val="hybridMultilevel"/>
    <w:tmpl w:val="96469232"/>
    <w:lvl w:ilvl="0" w:tplc="A8B480B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7378C5"/>
    <w:multiLevelType w:val="hybridMultilevel"/>
    <w:tmpl w:val="AB6E13EC"/>
    <w:lvl w:ilvl="0" w:tplc="88D617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3FC366F"/>
    <w:multiLevelType w:val="hybridMultilevel"/>
    <w:tmpl w:val="E28E0988"/>
    <w:lvl w:ilvl="0" w:tplc="831082EA">
      <w:numFmt w:val="bullet"/>
      <w:lvlText w:val="-"/>
      <w:lvlJc w:val="left"/>
      <w:pPr>
        <w:ind w:left="1260" w:hanging="360"/>
      </w:pPr>
      <w:rPr>
        <w:rFonts w:ascii="Times New Roman" w:hAnsi="Times New Roman" w:hint="default"/>
        <w:b w:val="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556F5734"/>
    <w:multiLevelType w:val="hybridMultilevel"/>
    <w:tmpl w:val="50F2B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A75C6B"/>
    <w:multiLevelType w:val="hybridMultilevel"/>
    <w:tmpl w:val="ECFE9038"/>
    <w:lvl w:ilvl="0" w:tplc="6DA2454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C66236"/>
    <w:multiLevelType w:val="hybridMultilevel"/>
    <w:tmpl w:val="132E30CE"/>
    <w:lvl w:ilvl="0" w:tplc="3A66A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1C67F6"/>
    <w:multiLevelType w:val="hybridMultilevel"/>
    <w:tmpl w:val="07106090"/>
    <w:lvl w:ilvl="0" w:tplc="26F872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BD6934"/>
    <w:multiLevelType w:val="hybridMultilevel"/>
    <w:tmpl w:val="A85A3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C6169"/>
    <w:multiLevelType w:val="hybridMultilevel"/>
    <w:tmpl w:val="C47C7136"/>
    <w:lvl w:ilvl="0" w:tplc="831082EA">
      <w:numFmt w:val="bullet"/>
      <w:lvlText w:val="-"/>
      <w:lvlJc w:val="left"/>
      <w:pPr>
        <w:ind w:left="1080" w:hanging="360"/>
      </w:pPr>
      <w:rPr>
        <w:rFonts w:ascii="Times New Roman" w:hAnsi="Times New Roman" w:hint="default"/>
        <w:b w:val="0"/>
      </w:rPr>
    </w:lvl>
    <w:lvl w:ilvl="1" w:tplc="AD681F54">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AAC2626"/>
    <w:multiLevelType w:val="hybridMultilevel"/>
    <w:tmpl w:val="7D688968"/>
    <w:lvl w:ilvl="0" w:tplc="831082EA">
      <w:numFmt w:val="bullet"/>
      <w:lvlText w:val="-"/>
      <w:lvlJc w:val="left"/>
      <w:pPr>
        <w:tabs>
          <w:tab w:val="num" w:pos="1440"/>
        </w:tabs>
        <w:ind w:left="1440" w:hanging="360"/>
      </w:pPr>
      <w:rPr>
        <w:rFonts w:ascii="Times New Roman" w:hAnsi="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D511718"/>
    <w:multiLevelType w:val="hybridMultilevel"/>
    <w:tmpl w:val="57E8E15A"/>
    <w:lvl w:ilvl="0" w:tplc="831082EA">
      <w:numFmt w:val="bullet"/>
      <w:lvlText w:val="-"/>
      <w:lvlJc w:val="left"/>
      <w:pPr>
        <w:ind w:left="1080" w:hanging="360"/>
      </w:pPr>
      <w:rPr>
        <w:rFonts w:ascii="Times New Roman" w:hAnsi="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DF76D4C"/>
    <w:multiLevelType w:val="hybridMultilevel"/>
    <w:tmpl w:val="BAD623CE"/>
    <w:lvl w:ilvl="0" w:tplc="CCCC4F0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571B8C"/>
    <w:multiLevelType w:val="hybridMultilevel"/>
    <w:tmpl w:val="0526F7AE"/>
    <w:lvl w:ilvl="0" w:tplc="23B2C67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2F6F7B"/>
    <w:multiLevelType w:val="hybridMultilevel"/>
    <w:tmpl w:val="6A022CF6"/>
    <w:lvl w:ilvl="0" w:tplc="83F6DBBC">
      <w:start w:val="1"/>
      <w:numFmt w:val="decimal"/>
      <w:lvlText w:val="%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abstractNum w:abstractNumId="36" w15:restartNumberingAfterBreak="0">
    <w:nsid w:val="7C35551F"/>
    <w:multiLevelType w:val="hybridMultilevel"/>
    <w:tmpl w:val="644886E6"/>
    <w:lvl w:ilvl="0" w:tplc="CA4AED0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4056149">
    <w:abstractNumId w:val="16"/>
  </w:num>
  <w:num w:numId="2" w16cid:durableId="803349653">
    <w:abstractNumId w:val="31"/>
  </w:num>
  <w:num w:numId="3" w16cid:durableId="464398114">
    <w:abstractNumId w:val="30"/>
  </w:num>
  <w:num w:numId="4" w16cid:durableId="689184929">
    <w:abstractNumId w:val="32"/>
  </w:num>
  <w:num w:numId="5" w16cid:durableId="1473863151">
    <w:abstractNumId w:val="8"/>
  </w:num>
  <w:num w:numId="6" w16cid:durableId="854269836">
    <w:abstractNumId w:val="12"/>
  </w:num>
  <w:num w:numId="7" w16cid:durableId="1888182943">
    <w:abstractNumId w:val="18"/>
  </w:num>
  <w:num w:numId="8" w16cid:durableId="125900109">
    <w:abstractNumId w:val="36"/>
  </w:num>
  <w:num w:numId="9" w16cid:durableId="1905408792">
    <w:abstractNumId w:val="2"/>
  </w:num>
  <w:num w:numId="10" w16cid:durableId="96103815">
    <w:abstractNumId w:val="28"/>
  </w:num>
  <w:num w:numId="11" w16cid:durableId="1967199552">
    <w:abstractNumId w:val="22"/>
  </w:num>
  <w:num w:numId="12" w16cid:durableId="1224101294">
    <w:abstractNumId w:val="33"/>
  </w:num>
  <w:num w:numId="13" w16cid:durableId="461315018">
    <w:abstractNumId w:val="11"/>
  </w:num>
  <w:num w:numId="14" w16cid:durableId="1331179243">
    <w:abstractNumId w:val="21"/>
  </w:num>
  <w:num w:numId="15" w16cid:durableId="832375130">
    <w:abstractNumId w:val="3"/>
  </w:num>
  <w:num w:numId="16" w16cid:durableId="1975717174">
    <w:abstractNumId w:val="20"/>
  </w:num>
  <w:num w:numId="17" w16cid:durableId="1806656908">
    <w:abstractNumId w:val="6"/>
  </w:num>
  <w:num w:numId="18" w16cid:durableId="1799758033">
    <w:abstractNumId w:val="1"/>
  </w:num>
  <w:num w:numId="19" w16cid:durableId="677077368">
    <w:abstractNumId w:val="26"/>
  </w:num>
  <w:num w:numId="20" w16cid:durableId="8142735">
    <w:abstractNumId w:val="34"/>
  </w:num>
  <w:num w:numId="21" w16cid:durableId="1382173127">
    <w:abstractNumId w:val="10"/>
  </w:num>
  <w:num w:numId="22" w16cid:durableId="594552891">
    <w:abstractNumId w:val="35"/>
  </w:num>
  <w:num w:numId="23" w16cid:durableId="147789816">
    <w:abstractNumId w:val="29"/>
  </w:num>
  <w:num w:numId="24" w16cid:durableId="626544785">
    <w:abstractNumId w:val="27"/>
  </w:num>
  <w:num w:numId="25" w16cid:durableId="1278949851">
    <w:abstractNumId w:val="17"/>
  </w:num>
  <w:num w:numId="26" w16cid:durableId="1083138570">
    <w:abstractNumId w:val="13"/>
  </w:num>
  <w:num w:numId="27" w16cid:durableId="1816868326">
    <w:abstractNumId w:val="4"/>
  </w:num>
  <w:num w:numId="28" w16cid:durableId="1494107896">
    <w:abstractNumId w:val="15"/>
  </w:num>
  <w:num w:numId="29" w16cid:durableId="1144077717">
    <w:abstractNumId w:val="24"/>
  </w:num>
  <w:num w:numId="30" w16cid:durableId="1706523663">
    <w:abstractNumId w:val="5"/>
  </w:num>
  <w:num w:numId="31" w16cid:durableId="458498320">
    <w:abstractNumId w:val="23"/>
  </w:num>
  <w:num w:numId="32" w16cid:durableId="1511409892">
    <w:abstractNumId w:val="14"/>
  </w:num>
  <w:num w:numId="33" w16cid:durableId="949822596">
    <w:abstractNumId w:val="19"/>
  </w:num>
  <w:num w:numId="34" w16cid:durableId="1460102288">
    <w:abstractNumId w:val="25"/>
  </w:num>
  <w:num w:numId="35" w16cid:durableId="1514101645">
    <w:abstractNumId w:val="7"/>
  </w:num>
  <w:num w:numId="36" w16cid:durableId="224073688">
    <w:abstractNumId w:val="9"/>
  </w:num>
  <w:num w:numId="37" w16cid:durableId="1024987182">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defaultTabStop w:val="720"/>
  <w:drawingGridHorizontalSpacing w:val="261"/>
  <w:drawingGridVerticalSpacing w:val="35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D687E"/>
    <w:rsid w:val="00000134"/>
    <w:rsid w:val="00001800"/>
    <w:rsid w:val="00004DE1"/>
    <w:rsid w:val="000079D9"/>
    <w:rsid w:val="00010C9B"/>
    <w:rsid w:val="0002016A"/>
    <w:rsid w:val="000232DD"/>
    <w:rsid w:val="00023E1B"/>
    <w:rsid w:val="00027371"/>
    <w:rsid w:val="00036408"/>
    <w:rsid w:val="00040815"/>
    <w:rsid w:val="00045157"/>
    <w:rsid w:val="000466C2"/>
    <w:rsid w:val="00046A07"/>
    <w:rsid w:val="0005035A"/>
    <w:rsid w:val="000522D7"/>
    <w:rsid w:val="00060ABB"/>
    <w:rsid w:val="00063843"/>
    <w:rsid w:val="00074618"/>
    <w:rsid w:val="0007563C"/>
    <w:rsid w:val="000764D0"/>
    <w:rsid w:val="00082464"/>
    <w:rsid w:val="00085B39"/>
    <w:rsid w:val="000912BD"/>
    <w:rsid w:val="00092BA7"/>
    <w:rsid w:val="00097154"/>
    <w:rsid w:val="000A585C"/>
    <w:rsid w:val="000B09A0"/>
    <w:rsid w:val="000B2BEE"/>
    <w:rsid w:val="000B670E"/>
    <w:rsid w:val="000B7A7C"/>
    <w:rsid w:val="000C0AF5"/>
    <w:rsid w:val="000C146C"/>
    <w:rsid w:val="000C3070"/>
    <w:rsid w:val="000C499A"/>
    <w:rsid w:val="000C7AF2"/>
    <w:rsid w:val="000D5615"/>
    <w:rsid w:val="000E28F3"/>
    <w:rsid w:val="000E4674"/>
    <w:rsid w:val="000E4FFC"/>
    <w:rsid w:val="000E5028"/>
    <w:rsid w:val="000E6D40"/>
    <w:rsid w:val="000F1148"/>
    <w:rsid w:val="000F359A"/>
    <w:rsid w:val="00100979"/>
    <w:rsid w:val="0010310F"/>
    <w:rsid w:val="00115F19"/>
    <w:rsid w:val="00116D27"/>
    <w:rsid w:val="00122067"/>
    <w:rsid w:val="00126228"/>
    <w:rsid w:val="001272EA"/>
    <w:rsid w:val="00143CB1"/>
    <w:rsid w:val="001463BB"/>
    <w:rsid w:val="00152BBD"/>
    <w:rsid w:val="001535C7"/>
    <w:rsid w:val="001557A4"/>
    <w:rsid w:val="00162FC5"/>
    <w:rsid w:val="00166547"/>
    <w:rsid w:val="00172FD0"/>
    <w:rsid w:val="0018192F"/>
    <w:rsid w:val="00181B4B"/>
    <w:rsid w:val="00181E57"/>
    <w:rsid w:val="001845DA"/>
    <w:rsid w:val="001867F0"/>
    <w:rsid w:val="00187CEF"/>
    <w:rsid w:val="00190280"/>
    <w:rsid w:val="00191CEA"/>
    <w:rsid w:val="00193B0E"/>
    <w:rsid w:val="0019506D"/>
    <w:rsid w:val="001963EB"/>
    <w:rsid w:val="001A4458"/>
    <w:rsid w:val="001A69E6"/>
    <w:rsid w:val="001B1ECC"/>
    <w:rsid w:val="001B4457"/>
    <w:rsid w:val="001B5D2D"/>
    <w:rsid w:val="001B6469"/>
    <w:rsid w:val="001C31B9"/>
    <w:rsid w:val="001C3E72"/>
    <w:rsid w:val="001D4B60"/>
    <w:rsid w:val="001D7BFA"/>
    <w:rsid w:val="001E55D1"/>
    <w:rsid w:val="001F030B"/>
    <w:rsid w:val="001F040C"/>
    <w:rsid w:val="001F163C"/>
    <w:rsid w:val="00205CA7"/>
    <w:rsid w:val="00207309"/>
    <w:rsid w:val="00207564"/>
    <w:rsid w:val="00213073"/>
    <w:rsid w:val="00213263"/>
    <w:rsid w:val="0021594D"/>
    <w:rsid w:val="0022143E"/>
    <w:rsid w:val="00227B05"/>
    <w:rsid w:val="0023320E"/>
    <w:rsid w:val="00233EB5"/>
    <w:rsid w:val="00257B0D"/>
    <w:rsid w:val="0026085D"/>
    <w:rsid w:val="00263FBD"/>
    <w:rsid w:val="00266301"/>
    <w:rsid w:val="00267336"/>
    <w:rsid w:val="002823F3"/>
    <w:rsid w:val="00282D45"/>
    <w:rsid w:val="00282F89"/>
    <w:rsid w:val="00285458"/>
    <w:rsid w:val="00287C22"/>
    <w:rsid w:val="00290A59"/>
    <w:rsid w:val="00291336"/>
    <w:rsid w:val="0029393F"/>
    <w:rsid w:val="00295502"/>
    <w:rsid w:val="002971D7"/>
    <w:rsid w:val="002A55AD"/>
    <w:rsid w:val="002B125A"/>
    <w:rsid w:val="002B6ACE"/>
    <w:rsid w:val="002C0E71"/>
    <w:rsid w:val="002C342A"/>
    <w:rsid w:val="002C5205"/>
    <w:rsid w:val="002C5825"/>
    <w:rsid w:val="002D0F96"/>
    <w:rsid w:val="002D3E40"/>
    <w:rsid w:val="002D7593"/>
    <w:rsid w:val="002D7A0A"/>
    <w:rsid w:val="002E2F8A"/>
    <w:rsid w:val="002E5B0D"/>
    <w:rsid w:val="002F0778"/>
    <w:rsid w:val="002F2830"/>
    <w:rsid w:val="002F5809"/>
    <w:rsid w:val="002F7D80"/>
    <w:rsid w:val="00307B9C"/>
    <w:rsid w:val="00321F0C"/>
    <w:rsid w:val="00326FC5"/>
    <w:rsid w:val="00331E2B"/>
    <w:rsid w:val="0033449F"/>
    <w:rsid w:val="0033475D"/>
    <w:rsid w:val="003350A9"/>
    <w:rsid w:val="00340C63"/>
    <w:rsid w:val="0034322A"/>
    <w:rsid w:val="00350E69"/>
    <w:rsid w:val="00352256"/>
    <w:rsid w:val="0036404D"/>
    <w:rsid w:val="0036429F"/>
    <w:rsid w:val="00366828"/>
    <w:rsid w:val="00367633"/>
    <w:rsid w:val="0037319E"/>
    <w:rsid w:val="00376EB6"/>
    <w:rsid w:val="00380266"/>
    <w:rsid w:val="003811F9"/>
    <w:rsid w:val="0038312C"/>
    <w:rsid w:val="003852E3"/>
    <w:rsid w:val="003909E1"/>
    <w:rsid w:val="0039608A"/>
    <w:rsid w:val="003A114B"/>
    <w:rsid w:val="003A50BF"/>
    <w:rsid w:val="003B21CA"/>
    <w:rsid w:val="003B3178"/>
    <w:rsid w:val="003B7A9C"/>
    <w:rsid w:val="003C0AF7"/>
    <w:rsid w:val="003C2710"/>
    <w:rsid w:val="003C3187"/>
    <w:rsid w:val="003C5BC1"/>
    <w:rsid w:val="003C5EE8"/>
    <w:rsid w:val="003C74E6"/>
    <w:rsid w:val="003D10E6"/>
    <w:rsid w:val="003D5582"/>
    <w:rsid w:val="003D6A42"/>
    <w:rsid w:val="003D7295"/>
    <w:rsid w:val="003E0285"/>
    <w:rsid w:val="003E278E"/>
    <w:rsid w:val="003E7D17"/>
    <w:rsid w:val="003E7EC5"/>
    <w:rsid w:val="003F1681"/>
    <w:rsid w:val="003F1955"/>
    <w:rsid w:val="003F2DB8"/>
    <w:rsid w:val="00412D8E"/>
    <w:rsid w:val="0041342C"/>
    <w:rsid w:val="00413F03"/>
    <w:rsid w:val="00415B0D"/>
    <w:rsid w:val="00417AAB"/>
    <w:rsid w:val="0042102C"/>
    <w:rsid w:val="004226DC"/>
    <w:rsid w:val="0043071E"/>
    <w:rsid w:val="004321BB"/>
    <w:rsid w:val="0043254A"/>
    <w:rsid w:val="00433932"/>
    <w:rsid w:val="00434028"/>
    <w:rsid w:val="004400C9"/>
    <w:rsid w:val="00447094"/>
    <w:rsid w:val="00452AFD"/>
    <w:rsid w:val="0045313C"/>
    <w:rsid w:val="00453434"/>
    <w:rsid w:val="00455319"/>
    <w:rsid w:val="00463CA9"/>
    <w:rsid w:val="00467883"/>
    <w:rsid w:val="0047458D"/>
    <w:rsid w:val="0048409B"/>
    <w:rsid w:val="00486E12"/>
    <w:rsid w:val="00487448"/>
    <w:rsid w:val="00497FC5"/>
    <w:rsid w:val="004A0DBE"/>
    <w:rsid w:val="004A311F"/>
    <w:rsid w:val="004A6551"/>
    <w:rsid w:val="004A7D77"/>
    <w:rsid w:val="004B0DAE"/>
    <w:rsid w:val="004B268B"/>
    <w:rsid w:val="004B2E0C"/>
    <w:rsid w:val="004B5563"/>
    <w:rsid w:val="004C6364"/>
    <w:rsid w:val="004D0111"/>
    <w:rsid w:val="004D15E4"/>
    <w:rsid w:val="004D1C33"/>
    <w:rsid w:val="004D5787"/>
    <w:rsid w:val="004D7BED"/>
    <w:rsid w:val="004E02BD"/>
    <w:rsid w:val="004E06D1"/>
    <w:rsid w:val="004E17E9"/>
    <w:rsid w:val="004F4167"/>
    <w:rsid w:val="004F7D19"/>
    <w:rsid w:val="005040AF"/>
    <w:rsid w:val="00505AFB"/>
    <w:rsid w:val="0051139C"/>
    <w:rsid w:val="005129B3"/>
    <w:rsid w:val="00512E51"/>
    <w:rsid w:val="005138C6"/>
    <w:rsid w:val="00521E79"/>
    <w:rsid w:val="0053074E"/>
    <w:rsid w:val="0053302F"/>
    <w:rsid w:val="005337E0"/>
    <w:rsid w:val="0053672A"/>
    <w:rsid w:val="005443C0"/>
    <w:rsid w:val="00547C75"/>
    <w:rsid w:val="00557853"/>
    <w:rsid w:val="00565385"/>
    <w:rsid w:val="005656CC"/>
    <w:rsid w:val="00574B50"/>
    <w:rsid w:val="00574FAF"/>
    <w:rsid w:val="005750F9"/>
    <w:rsid w:val="00575F30"/>
    <w:rsid w:val="00584988"/>
    <w:rsid w:val="005910F1"/>
    <w:rsid w:val="00591D8D"/>
    <w:rsid w:val="005949DA"/>
    <w:rsid w:val="0059542E"/>
    <w:rsid w:val="00596E0C"/>
    <w:rsid w:val="005A519A"/>
    <w:rsid w:val="005A7795"/>
    <w:rsid w:val="005B24A5"/>
    <w:rsid w:val="005B2EE4"/>
    <w:rsid w:val="005B4AC6"/>
    <w:rsid w:val="005C0BEF"/>
    <w:rsid w:val="005D053C"/>
    <w:rsid w:val="005D198C"/>
    <w:rsid w:val="005D331F"/>
    <w:rsid w:val="005D51C5"/>
    <w:rsid w:val="005D59B7"/>
    <w:rsid w:val="005D651A"/>
    <w:rsid w:val="005E0850"/>
    <w:rsid w:val="005F0735"/>
    <w:rsid w:val="005F0F4D"/>
    <w:rsid w:val="005F2FC8"/>
    <w:rsid w:val="00602483"/>
    <w:rsid w:val="006051F3"/>
    <w:rsid w:val="00606A3A"/>
    <w:rsid w:val="0061256A"/>
    <w:rsid w:val="006135AF"/>
    <w:rsid w:val="00613708"/>
    <w:rsid w:val="00616706"/>
    <w:rsid w:val="00621674"/>
    <w:rsid w:val="006224FD"/>
    <w:rsid w:val="00630B4A"/>
    <w:rsid w:val="00635103"/>
    <w:rsid w:val="00635319"/>
    <w:rsid w:val="0063557D"/>
    <w:rsid w:val="0063566B"/>
    <w:rsid w:val="00641E39"/>
    <w:rsid w:val="00642CD5"/>
    <w:rsid w:val="00643DD3"/>
    <w:rsid w:val="006529AE"/>
    <w:rsid w:val="006530A6"/>
    <w:rsid w:val="00653670"/>
    <w:rsid w:val="00653890"/>
    <w:rsid w:val="00654AC3"/>
    <w:rsid w:val="00660B71"/>
    <w:rsid w:val="00662618"/>
    <w:rsid w:val="006641E4"/>
    <w:rsid w:val="00672B0E"/>
    <w:rsid w:val="00672BBD"/>
    <w:rsid w:val="00673CC0"/>
    <w:rsid w:val="00674167"/>
    <w:rsid w:val="0067434D"/>
    <w:rsid w:val="00674D21"/>
    <w:rsid w:val="00680FB5"/>
    <w:rsid w:val="00681580"/>
    <w:rsid w:val="00686133"/>
    <w:rsid w:val="00690645"/>
    <w:rsid w:val="006A039E"/>
    <w:rsid w:val="006B0BCD"/>
    <w:rsid w:val="006B2CD3"/>
    <w:rsid w:val="006B7BE2"/>
    <w:rsid w:val="006C1DA7"/>
    <w:rsid w:val="006C393B"/>
    <w:rsid w:val="006D0977"/>
    <w:rsid w:val="006D4AF1"/>
    <w:rsid w:val="006D4D4A"/>
    <w:rsid w:val="006D4E20"/>
    <w:rsid w:val="006D646D"/>
    <w:rsid w:val="006E447C"/>
    <w:rsid w:val="006F40EE"/>
    <w:rsid w:val="006F4ECF"/>
    <w:rsid w:val="00703B35"/>
    <w:rsid w:val="00703C6E"/>
    <w:rsid w:val="00707638"/>
    <w:rsid w:val="00710A44"/>
    <w:rsid w:val="00712B37"/>
    <w:rsid w:val="00717045"/>
    <w:rsid w:val="007212E4"/>
    <w:rsid w:val="007268CD"/>
    <w:rsid w:val="0073013D"/>
    <w:rsid w:val="0073684E"/>
    <w:rsid w:val="007369D3"/>
    <w:rsid w:val="00740A4C"/>
    <w:rsid w:val="0074327D"/>
    <w:rsid w:val="00743B7F"/>
    <w:rsid w:val="00744569"/>
    <w:rsid w:val="00750E31"/>
    <w:rsid w:val="007526CA"/>
    <w:rsid w:val="007532DC"/>
    <w:rsid w:val="00754F18"/>
    <w:rsid w:val="00761D21"/>
    <w:rsid w:val="00764556"/>
    <w:rsid w:val="00765F55"/>
    <w:rsid w:val="00770257"/>
    <w:rsid w:val="00773D97"/>
    <w:rsid w:val="00783E19"/>
    <w:rsid w:val="00784A68"/>
    <w:rsid w:val="00795D85"/>
    <w:rsid w:val="007961C1"/>
    <w:rsid w:val="007A020E"/>
    <w:rsid w:val="007A6BEB"/>
    <w:rsid w:val="007A7866"/>
    <w:rsid w:val="007B5FDC"/>
    <w:rsid w:val="007C0068"/>
    <w:rsid w:val="007C0980"/>
    <w:rsid w:val="007C0E2A"/>
    <w:rsid w:val="007C4ED5"/>
    <w:rsid w:val="007C722A"/>
    <w:rsid w:val="007C78B2"/>
    <w:rsid w:val="007D296F"/>
    <w:rsid w:val="007D2F30"/>
    <w:rsid w:val="007D308C"/>
    <w:rsid w:val="007D687E"/>
    <w:rsid w:val="007E1CEC"/>
    <w:rsid w:val="007E213C"/>
    <w:rsid w:val="007E219E"/>
    <w:rsid w:val="007E2E39"/>
    <w:rsid w:val="007E3668"/>
    <w:rsid w:val="007E5B25"/>
    <w:rsid w:val="007E5BE0"/>
    <w:rsid w:val="007E7C59"/>
    <w:rsid w:val="007F40FC"/>
    <w:rsid w:val="00805D4A"/>
    <w:rsid w:val="008076B7"/>
    <w:rsid w:val="0081232A"/>
    <w:rsid w:val="0081415C"/>
    <w:rsid w:val="0081562D"/>
    <w:rsid w:val="00816057"/>
    <w:rsid w:val="00820B25"/>
    <w:rsid w:val="00820DE7"/>
    <w:rsid w:val="00822C87"/>
    <w:rsid w:val="00823B19"/>
    <w:rsid w:val="00824670"/>
    <w:rsid w:val="00825D43"/>
    <w:rsid w:val="0083127F"/>
    <w:rsid w:val="00834458"/>
    <w:rsid w:val="0083511A"/>
    <w:rsid w:val="008433A0"/>
    <w:rsid w:val="0084538E"/>
    <w:rsid w:val="00846D4C"/>
    <w:rsid w:val="008600F9"/>
    <w:rsid w:val="00860919"/>
    <w:rsid w:val="00867378"/>
    <w:rsid w:val="008673FF"/>
    <w:rsid w:val="00871073"/>
    <w:rsid w:val="00871AF0"/>
    <w:rsid w:val="0087346F"/>
    <w:rsid w:val="00874E73"/>
    <w:rsid w:val="008765AA"/>
    <w:rsid w:val="0087716F"/>
    <w:rsid w:val="008800BE"/>
    <w:rsid w:val="0088759C"/>
    <w:rsid w:val="00894F5A"/>
    <w:rsid w:val="00895DCA"/>
    <w:rsid w:val="008A1756"/>
    <w:rsid w:val="008A1F07"/>
    <w:rsid w:val="008A60BC"/>
    <w:rsid w:val="008A6C52"/>
    <w:rsid w:val="008A6CB8"/>
    <w:rsid w:val="008A7784"/>
    <w:rsid w:val="008B1126"/>
    <w:rsid w:val="008B4AFA"/>
    <w:rsid w:val="008B6C31"/>
    <w:rsid w:val="008B6F2A"/>
    <w:rsid w:val="008C1A7A"/>
    <w:rsid w:val="008C2198"/>
    <w:rsid w:val="008C412B"/>
    <w:rsid w:val="008C41F3"/>
    <w:rsid w:val="008C6CED"/>
    <w:rsid w:val="008D0C67"/>
    <w:rsid w:val="008D3340"/>
    <w:rsid w:val="008E6E2E"/>
    <w:rsid w:val="008F1F98"/>
    <w:rsid w:val="008F57F9"/>
    <w:rsid w:val="00904489"/>
    <w:rsid w:val="009060BF"/>
    <w:rsid w:val="00906FD3"/>
    <w:rsid w:val="00907174"/>
    <w:rsid w:val="00907E4C"/>
    <w:rsid w:val="00911048"/>
    <w:rsid w:val="00912A27"/>
    <w:rsid w:val="009139C5"/>
    <w:rsid w:val="00914657"/>
    <w:rsid w:val="009153D5"/>
    <w:rsid w:val="0091577A"/>
    <w:rsid w:val="009175ED"/>
    <w:rsid w:val="009227E0"/>
    <w:rsid w:val="0092728D"/>
    <w:rsid w:val="0093232B"/>
    <w:rsid w:val="0093359C"/>
    <w:rsid w:val="00943822"/>
    <w:rsid w:val="00944025"/>
    <w:rsid w:val="0095309A"/>
    <w:rsid w:val="00954EE3"/>
    <w:rsid w:val="00965CAF"/>
    <w:rsid w:val="0096647F"/>
    <w:rsid w:val="00971811"/>
    <w:rsid w:val="00977A4D"/>
    <w:rsid w:val="00983EBA"/>
    <w:rsid w:val="0099242D"/>
    <w:rsid w:val="00993CC2"/>
    <w:rsid w:val="00993EE8"/>
    <w:rsid w:val="00994C56"/>
    <w:rsid w:val="009959B8"/>
    <w:rsid w:val="009A4459"/>
    <w:rsid w:val="009B21E5"/>
    <w:rsid w:val="009B3F4A"/>
    <w:rsid w:val="009B41D2"/>
    <w:rsid w:val="009B4930"/>
    <w:rsid w:val="009B5960"/>
    <w:rsid w:val="009C4E43"/>
    <w:rsid w:val="009C6474"/>
    <w:rsid w:val="009D3929"/>
    <w:rsid w:val="009D6BEB"/>
    <w:rsid w:val="009D7C61"/>
    <w:rsid w:val="009E6436"/>
    <w:rsid w:val="009E7D83"/>
    <w:rsid w:val="00A0019B"/>
    <w:rsid w:val="00A04CA3"/>
    <w:rsid w:val="00A139DB"/>
    <w:rsid w:val="00A16EF1"/>
    <w:rsid w:val="00A205C7"/>
    <w:rsid w:val="00A22561"/>
    <w:rsid w:val="00A24D8E"/>
    <w:rsid w:val="00A25945"/>
    <w:rsid w:val="00A35224"/>
    <w:rsid w:val="00A35F77"/>
    <w:rsid w:val="00A3601E"/>
    <w:rsid w:val="00A40D82"/>
    <w:rsid w:val="00A41ABB"/>
    <w:rsid w:val="00A44B14"/>
    <w:rsid w:val="00A4781E"/>
    <w:rsid w:val="00A50A86"/>
    <w:rsid w:val="00A50B12"/>
    <w:rsid w:val="00A557FB"/>
    <w:rsid w:val="00A619C6"/>
    <w:rsid w:val="00A61C38"/>
    <w:rsid w:val="00A66508"/>
    <w:rsid w:val="00A671CC"/>
    <w:rsid w:val="00A80F47"/>
    <w:rsid w:val="00A8323F"/>
    <w:rsid w:val="00A84A63"/>
    <w:rsid w:val="00A84D74"/>
    <w:rsid w:val="00A86299"/>
    <w:rsid w:val="00A878CE"/>
    <w:rsid w:val="00A959F4"/>
    <w:rsid w:val="00A96C12"/>
    <w:rsid w:val="00AA21DE"/>
    <w:rsid w:val="00AA3F08"/>
    <w:rsid w:val="00AA4A68"/>
    <w:rsid w:val="00AB2379"/>
    <w:rsid w:val="00AB39D7"/>
    <w:rsid w:val="00AB7079"/>
    <w:rsid w:val="00AC4DAE"/>
    <w:rsid w:val="00AD0C26"/>
    <w:rsid w:val="00AE18B0"/>
    <w:rsid w:val="00AE3C2D"/>
    <w:rsid w:val="00AE5C6B"/>
    <w:rsid w:val="00AF2B31"/>
    <w:rsid w:val="00AF5D83"/>
    <w:rsid w:val="00AF7869"/>
    <w:rsid w:val="00B006F2"/>
    <w:rsid w:val="00B046D6"/>
    <w:rsid w:val="00B11CE5"/>
    <w:rsid w:val="00B145EC"/>
    <w:rsid w:val="00B17576"/>
    <w:rsid w:val="00B2052E"/>
    <w:rsid w:val="00B2118D"/>
    <w:rsid w:val="00B23E01"/>
    <w:rsid w:val="00B249C5"/>
    <w:rsid w:val="00B24A22"/>
    <w:rsid w:val="00B26451"/>
    <w:rsid w:val="00B27AE9"/>
    <w:rsid w:val="00B33AAB"/>
    <w:rsid w:val="00B45A95"/>
    <w:rsid w:val="00B47D6B"/>
    <w:rsid w:val="00B5018C"/>
    <w:rsid w:val="00B5711A"/>
    <w:rsid w:val="00B60397"/>
    <w:rsid w:val="00B6434D"/>
    <w:rsid w:val="00B67423"/>
    <w:rsid w:val="00B707BA"/>
    <w:rsid w:val="00B759DD"/>
    <w:rsid w:val="00B82F42"/>
    <w:rsid w:val="00B83901"/>
    <w:rsid w:val="00B84233"/>
    <w:rsid w:val="00B90B7F"/>
    <w:rsid w:val="00B90D9E"/>
    <w:rsid w:val="00B91C8A"/>
    <w:rsid w:val="00B927CC"/>
    <w:rsid w:val="00B92AEC"/>
    <w:rsid w:val="00B95CFA"/>
    <w:rsid w:val="00BA1114"/>
    <w:rsid w:val="00BA55C9"/>
    <w:rsid w:val="00BA5839"/>
    <w:rsid w:val="00BA6E89"/>
    <w:rsid w:val="00BA74CD"/>
    <w:rsid w:val="00BB1D7A"/>
    <w:rsid w:val="00BB3943"/>
    <w:rsid w:val="00BB6D20"/>
    <w:rsid w:val="00BC018A"/>
    <w:rsid w:val="00BC23EC"/>
    <w:rsid w:val="00BC2699"/>
    <w:rsid w:val="00BC3F62"/>
    <w:rsid w:val="00BD630B"/>
    <w:rsid w:val="00BE00CE"/>
    <w:rsid w:val="00BE1C1E"/>
    <w:rsid w:val="00BE4136"/>
    <w:rsid w:val="00BE5392"/>
    <w:rsid w:val="00BE5D9E"/>
    <w:rsid w:val="00BE67E3"/>
    <w:rsid w:val="00BE78B9"/>
    <w:rsid w:val="00BF6958"/>
    <w:rsid w:val="00C05019"/>
    <w:rsid w:val="00C05816"/>
    <w:rsid w:val="00C10261"/>
    <w:rsid w:val="00C1082C"/>
    <w:rsid w:val="00C14082"/>
    <w:rsid w:val="00C2078E"/>
    <w:rsid w:val="00C22ED8"/>
    <w:rsid w:val="00C24108"/>
    <w:rsid w:val="00C25F87"/>
    <w:rsid w:val="00C304EB"/>
    <w:rsid w:val="00C31D70"/>
    <w:rsid w:val="00C31E41"/>
    <w:rsid w:val="00C35592"/>
    <w:rsid w:val="00C37CFA"/>
    <w:rsid w:val="00C37EDD"/>
    <w:rsid w:val="00C40B24"/>
    <w:rsid w:val="00C41A22"/>
    <w:rsid w:val="00C42BD2"/>
    <w:rsid w:val="00C44818"/>
    <w:rsid w:val="00C44FD2"/>
    <w:rsid w:val="00C46926"/>
    <w:rsid w:val="00C47FE5"/>
    <w:rsid w:val="00C565B9"/>
    <w:rsid w:val="00C630B7"/>
    <w:rsid w:val="00C63D87"/>
    <w:rsid w:val="00C66BBD"/>
    <w:rsid w:val="00C67BBC"/>
    <w:rsid w:val="00C70FBB"/>
    <w:rsid w:val="00C76812"/>
    <w:rsid w:val="00C8461E"/>
    <w:rsid w:val="00C87DFE"/>
    <w:rsid w:val="00C954BF"/>
    <w:rsid w:val="00C96666"/>
    <w:rsid w:val="00C967E0"/>
    <w:rsid w:val="00CA292F"/>
    <w:rsid w:val="00CA357D"/>
    <w:rsid w:val="00CA6115"/>
    <w:rsid w:val="00CB121F"/>
    <w:rsid w:val="00CB2DC8"/>
    <w:rsid w:val="00CB3FAB"/>
    <w:rsid w:val="00CB56FE"/>
    <w:rsid w:val="00CC5447"/>
    <w:rsid w:val="00CC55CA"/>
    <w:rsid w:val="00CC74DD"/>
    <w:rsid w:val="00CD1B20"/>
    <w:rsid w:val="00CD1E76"/>
    <w:rsid w:val="00CD5D15"/>
    <w:rsid w:val="00CE4889"/>
    <w:rsid w:val="00CE6BC5"/>
    <w:rsid w:val="00CE7F3A"/>
    <w:rsid w:val="00CF02E0"/>
    <w:rsid w:val="00CF1DF7"/>
    <w:rsid w:val="00CF378F"/>
    <w:rsid w:val="00D0052C"/>
    <w:rsid w:val="00D00B53"/>
    <w:rsid w:val="00D11FFB"/>
    <w:rsid w:val="00D14845"/>
    <w:rsid w:val="00D1494C"/>
    <w:rsid w:val="00D17E39"/>
    <w:rsid w:val="00D211CC"/>
    <w:rsid w:val="00D21428"/>
    <w:rsid w:val="00D2497C"/>
    <w:rsid w:val="00D31CC4"/>
    <w:rsid w:val="00D35DCF"/>
    <w:rsid w:val="00D40483"/>
    <w:rsid w:val="00D40958"/>
    <w:rsid w:val="00D45490"/>
    <w:rsid w:val="00D50877"/>
    <w:rsid w:val="00D53052"/>
    <w:rsid w:val="00D530D8"/>
    <w:rsid w:val="00D5466D"/>
    <w:rsid w:val="00D554A0"/>
    <w:rsid w:val="00D56EC5"/>
    <w:rsid w:val="00D57DCA"/>
    <w:rsid w:val="00D62355"/>
    <w:rsid w:val="00D624B4"/>
    <w:rsid w:val="00D66D72"/>
    <w:rsid w:val="00D66FCD"/>
    <w:rsid w:val="00D7273E"/>
    <w:rsid w:val="00D74D26"/>
    <w:rsid w:val="00D76891"/>
    <w:rsid w:val="00D773AA"/>
    <w:rsid w:val="00D77471"/>
    <w:rsid w:val="00D80579"/>
    <w:rsid w:val="00D81FEC"/>
    <w:rsid w:val="00D874AC"/>
    <w:rsid w:val="00D90D12"/>
    <w:rsid w:val="00D9510D"/>
    <w:rsid w:val="00D9636B"/>
    <w:rsid w:val="00DA582B"/>
    <w:rsid w:val="00DA66FE"/>
    <w:rsid w:val="00DB3229"/>
    <w:rsid w:val="00DB3754"/>
    <w:rsid w:val="00DB462E"/>
    <w:rsid w:val="00DC061C"/>
    <w:rsid w:val="00DC608A"/>
    <w:rsid w:val="00DC6FC7"/>
    <w:rsid w:val="00DD11C6"/>
    <w:rsid w:val="00DD3D1E"/>
    <w:rsid w:val="00DD67F6"/>
    <w:rsid w:val="00DD6C6B"/>
    <w:rsid w:val="00DD7A41"/>
    <w:rsid w:val="00DE2F81"/>
    <w:rsid w:val="00DE37E7"/>
    <w:rsid w:val="00DE7464"/>
    <w:rsid w:val="00DF0AB7"/>
    <w:rsid w:val="00DF2032"/>
    <w:rsid w:val="00DF3316"/>
    <w:rsid w:val="00DF3C13"/>
    <w:rsid w:val="00DF3FB6"/>
    <w:rsid w:val="00DF5583"/>
    <w:rsid w:val="00DF76BF"/>
    <w:rsid w:val="00E01BD3"/>
    <w:rsid w:val="00E07813"/>
    <w:rsid w:val="00E16938"/>
    <w:rsid w:val="00E179DE"/>
    <w:rsid w:val="00E20673"/>
    <w:rsid w:val="00E23C5C"/>
    <w:rsid w:val="00E24587"/>
    <w:rsid w:val="00E32B0B"/>
    <w:rsid w:val="00E339C4"/>
    <w:rsid w:val="00E33C31"/>
    <w:rsid w:val="00E35749"/>
    <w:rsid w:val="00E36977"/>
    <w:rsid w:val="00E41DDE"/>
    <w:rsid w:val="00E43471"/>
    <w:rsid w:val="00E44108"/>
    <w:rsid w:val="00E465C6"/>
    <w:rsid w:val="00E51518"/>
    <w:rsid w:val="00E53A18"/>
    <w:rsid w:val="00E55381"/>
    <w:rsid w:val="00E60984"/>
    <w:rsid w:val="00E60BEF"/>
    <w:rsid w:val="00E638DC"/>
    <w:rsid w:val="00E73FB4"/>
    <w:rsid w:val="00E84D3C"/>
    <w:rsid w:val="00E91861"/>
    <w:rsid w:val="00E93955"/>
    <w:rsid w:val="00EA06E4"/>
    <w:rsid w:val="00EA1E4E"/>
    <w:rsid w:val="00EA6CDC"/>
    <w:rsid w:val="00EB22C5"/>
    <w:rsid w:val="00EB38A5"/>
    <w:rsid w:val="00EB4C91"/>
    <w:rsid w:val="00EB780D"/>
    <w:rsid w:val="00EC08DC"/>
    <w:rsid w:val="00EC0CA5"/>
    <w:rsid w:val="00EC140C"/>
    <w:rsid w:val="00EC1963"/>
    <w:rsid w:val="00EC26A8"/>
    <w:rsid w:val="00ED1CEE"/>
    <w:rsid w:val="00ED67D9"/>
    <w:rsid w:val="00ED67EA"/>
    <w:rsid w:val="00ED7940"/>
    <w:rsid w:val="00EE1055"/>
    <w:rsid w:val="00EE12B0"/>
    <w:rsid w:val="00EE3781"/>
    <w:rsid w:val="00EE53FF"/>
    <w:rsid w:val="00EE662C"/>
    <w:rsid w:val="00EE7DF1"/>
    <w:rsid w:val="00EF0E39"/>
    <w:rsid w:val="00EF1E15"/>
    <w:rsid w:val="00EF339D"/>
    <w:rsid w:val="00EF67F1"/>
    <w:rsid w:val="00F0152E"/>
    <w:rsid w:val="00F069EB"/>
    <w:rsid w:val="00F24644"/>
    <w:rsid w:val="00F2579B"/>
    <w:rsid w:val="00F308FB"/>
    <w:rsid w:val="00F33667"/>
    <w:rsid w:val="00F34A32"/>
    <w:rsid w:val="00F35A1A"/>
    <w:rsid w:val="00F373C6"/>
    <w:rsid w:val="00F37FBE"/>
    <w:rsid w:val="00F40500"/>
    <w:rsid w:val="00F4130E"/>
    <w:rsid w:val="00F41B9C"/>
    <w:rsid w:val="00F42498"/>
    <w:rsid w:val="00F45C7C"/>
    <w:rsid w:val="00F51C96"/>
    <w:rsid w:val="00F52344"/>
    <w:rsid w:val="00F52416"/>
    <w:rsid w:val="00F645B5"/>
    <w:rsid w:val="00F65C6C"/>
    <w:rsid w:val="00F700D5"/>
    <w:rsid w:val="00F71CDC"/>
    <w:rsid w:val="00F72D55"/>
    <w:rsid w:val="00F777FD"/>
    <w:rsid w:val="00F77FAF"/>
    <w:rsid w:val="00F82220"/>
    <w:rsid w:val="00F82BFF"/>
    <w:rsid w:val="00F834F9"/>
    <w:rsid w:val="00F8494D"/>
    <w:rsid w:val="00F85D5C"/>
    <w:rsid w:val="00F86C58"/>
    <w:rsid w:val="00F87F81"/>
    <w:rsid w:val="00F92793"/>
    <w:rsid w:val="00F94529"/>
    <w:rsid w:val="00FA0730"/>
    <w:rsid w:val="00FA099C"/>
    <w:rsid w:val="00FA10CB"/>
    <w:rsid w:val="00FA21FF"/>
    <w:rsid w:val="00FA3138"/>
    <w:rsid w:val="00FB1FA6"/>
    <w:rsid w:val="00FB2DB4"/>
    <w:rsid w:val="00FB5524"/>
    <w:rsid w:val="00FB5777"/>
    <w:rsid w:val="00FB66BB"/>
    <w:rsid w:val="00FB6C32"/>
    <w:rsid w:val="00FB7692"/>
    <w:rsid w:val="00FC577D"/>
    <w:rsid w:val="00FC7DBC"/>
    <w:rsid w:val="00FD557B"/>
    <w:rsid w:val="00FE03E3"/>
    <w:rsid w:val="00FE1E65"/>
    <w:rsid w:val="00FE5C0F"/>
    <w:rsid w:val="00FE690C"/>
    <w:rsid w:val="00FF2853"/>
    <w:rsid w:val="00FF296E"/>
    <w:rsid w:val="00FF54F3"/>
    <w:rsid w:val="00FF75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0A90A5"/>
  <w15:docId w15:val="{B43C5BF0-B568-4514-9F70-84AEC02C0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5AF"/>
    <w:rPr>
      <w:rFonts w:eastAsia="Times New Roman" w:ascii="Times New Roman" w:hAnsi="Times New Roman"/>
      <w:sz w:val="26"/>
      <w:szCs w:val="24"/>
    </w:rPr>
  </w:style>
  <w:style w:type="paragraph" w:styleId="Heading3">
    <w:name w:val="heading 3"/>
    <w:basedOn w:val="Normal"/>
    <w:next w:val="Normal"/>
    <w:link w:val="Heading3Char"/>
    <w:qFormat/>
    <w:rsid w:val="007D687E"/>
    <w:pPr>
      <w:keepNext/>
      <w:outlineLvl w:val="2"/>
    </w:pPr>
    <w:rPr>
      <w:b/>
      <w:i/>
      <w:sz w:val="20"/>
      <w:szCs w:val="20"/>
    </w:rPr>
  </w:style>
  <w:style w:type="paragraph" w:styleId="Heading4">
    <w:name w:val="heading 4"/>
    <w:basedOn w:val="Normal"/>
    <w:next w:val="Normal"/>
    <w:link w:val="Heading4Char"/>
    <w:uiPriority w:val="9"/>
    <w:semiHidden/>
    <w:unhideWhenUsed/>
    <w:qFormat/>
    <w:rsid w:val="00C40B24"/>
    <w:pPr>
      <w:keepNext/>
      <w:spacing w:before="240" w:after="60"/>
      <w:outlineLvl w:val="3"/>
    </w:pPr>
    <w:rPr>
      <w:rFonts w:ascii="Calibri" w:hAnsi="Calibri"/>
      <w:b/>
      <w:bCs/>
      <w:sz w:val="28"/>
      <w:szCs w:val="28"/>
    </w:rPr>
  </w:style>
  <w:style w:type="paragraph" w:styleId="Heading7">
    <w:name w:val="heading 7"/>
    <w:basedOn w:val="Normal"/>
    <w:next w:val="Normal"/>
    <w:link w:val="Heading7Char"/>
    <w:qFormat/>
    <w:rsid w:val="007D687E"/>
    <w:pPr>
      <w:keepNext/>
      <w:spacing w:before="60" w:after="160"/>
      <w:ind w:left="360" w:firstLine="240"/>
      <w:jc w:val="both"/>
      <w:outlineLvl w:val="6"/>
    </w:pPr>
    <w:rPr>
      <w:b/>
      <w:bCs/>
      <w:sz w:val="20"/>
      <w:szCs w:val="26"/>
      <w:lang w:val="nl-NL"/>
    </w:rPr>
  </w:style>
  <w:style w:type="paragraph" w:styleId="Heading8">
    <w:name w:val="heading 8"/>
    <w:basedOn w:val="Normal"/>
    <w:next w:val="Normal"/>
    <w:link w:val="Heading8Char"/>
    <w:qFormat/>
    <w:rsid w:val="007D687E"/>
    <w:pPr>
      <w:keepNext/>
      <w:ind w:firstLine="600"/>
      <w:jc w:val="both"/>
      <w:outlineLvl w:val="7"/>
    </w:pPr>
    <w:rPr>
      <w:b/>
      <w:sz w:val="20"/>
      <w:szCs w:val="26"/>
      <w:lang w:val="nl-NL"/>
    </w:rPr>
  </w:style>
  <w:style w:type="paragraph" w:styleId="Heading9">
    <w:name w:val="heading 9"/>
    <w:basedOn w:val="Normal"/>
    <w:next w:val="Normal"/>
    <w:link w:val="Heading9Char"/>
    <w:qFormat/>
    <w:rsid w:val="007D687E"/>
    <w:pPr>
      <w:keepNext/>
      <w:spacing w:before="60" w:after="160" w:line="288" w:lineRule="auto"/>
      <w:ind w:left="600"/>
      <w:jc w:val="both"/>
      <w:outlineLvl w:val="8"/>
    </w:pPr>
    <w:rPr>
      <w:b/>
      <w:bCs/>
      <w:sz w:val="20"/>
      <w:szCs w:val="26"/>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8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7D687E"/>
    <w:rPr>
      <w:rFonts w:eastAsia="Times New Roman"/>
      <w:b/>
      <w:i/>
      <w:szCs w:val="20"/>
    </w:rPr>
  </w:style>
  <w:style w:type="character" w:customStyle="1" w:styleId="Heading7Char">
    <w:name w:val="Heading 7 Char"/>
    <w:link w:val="Heading7"/>
    <w:rsid w:val="007D687E"/>
    <w:rPr>
      <w:rFonts w:eastAsia="Times New Roman"/>
      <w:b/>
      <w:bCs/>
      <w:szCs w:val="26"/>
      <w:lang w:val="nl-NL"/>
    </w:rPr>
  </w:style>
  <w:style w:type="character" w:customStyle="1" w:styleId="Heading8Char">
    <w:name w:val="Heading 8 Char"/>
    <w:link w:val="Heading8"/>
    <w:rsid w:val="007D687E"/>
    <w:rPr>
      <w:rFonts w:eastAsia="Times New Roman"/>
      <w:b/>
      <w:szCs w:val="26"/>
      <w:lang w:val="nl-NL"/>
    </w:rPr>
  </w:style>
  <w:style w:type="character" w:customStyle="1" w:styleId="Heading9Char">
    <w:name w:val="Heading 9 Char"/>
    <w:link w:val="Heading9"/>
    <w:rsid w:val="007D687E"/>
    <w:rPr>
      <w:rFonts w:eastAsia="Times New Roman"/>
      <w:b/>
      <w:bCs/>
      <w:szCs w:val="26"/>
      <w:lang w:val="nl-NL"/>
    </w:rPr>
  </w:style>
  <w:style w:type="paragraph" w:customStyle="1" w:styleId="Style7">
    <w:name w:val="Style7"/>
    <w:basedOn w:val="Normal"/>
    <w:rsid w:val="007D687E"/>
    <w:pPr>
      <w:tabs>
        <w:tab w:val="left" w:pos="960"/>
      </w:tabs>
      <w:jc w:val="both"/>
    </w:pPr>
    <w:rPr>
      <w:sz w:val="26"/>
      <w:szCs w:val="26"/>
    </w:rPr>
  </w:style>
  <w:style w:type="paragraph" w:styleId="BodyText2">
    <w:name w:val="Body Text 2"/>
    <w:basedOn w:val="Normal"/>
    <w:link w:val="BodyText2Char"/>
    <w:semiHidden/>
    <w:rsid w:val="007D687E"/>
    <w:rPr>
      <w:sz w:val="20"/>
      <w:szCs w:val="20"/>
    </w:rPr>
  </w:style>
  <w:style w:type="character" w:customStyle="1" w:styleId="BodyText2Char">
    <w:name w:val="Body Text 2 Char"/>
    <w:link w:val="BodyText2"/>
    <w:semiHidden/>
    <w:rsid w:val="007D687E"/>
    <w:rPr>
      <w:rFonts w:eastAsia="Times New Roman"/>
      <w:szCs w:val="20"/>
    </w:rPr>
  </w:style>
  <w:style w:type="paragraph" w:styleId="BodyTextIndent">
    <w:name w:val="Body Text Indent"/>
    <w:basedOn w:val="Normal"/>
    <w:link w:val="BodyTextIndentChar"/>
    <w:semiHidden/>
    <w:rsid w:val="007D687E"/>
    <w:pPr>
      <w:spacing w:after="120"/>
      <w:ind w:left="360"/>
    </w:pPr>
    <w:rPr>
      <w:sz w:val="26"/>
      <w:szCs w:val="26"/>
    </w:rPr>
  </w:style>
  <w:style w:type="character" w:customStyle="1" w:styleId="BodyTextIndentChar">
    <w:name w:val="Body Text Indent Char"/>
    <w:link w:val="BodyTextIndent"/>
    <w:semiHidden/>
    <w:rsid w:val="007D687E"/>
    <w:rPr>
      <w:rFonts w:eastAsia="Times New Roman"/>
      <w:sz w:val="26"/>
      <w:szCs w:val="26"/>
    </w:rPr>
  </w:style>
  <w:style w:type="paragraph" w:styleId="NoSpacing">
    <w:name w:val="No Spacing"/>
    <w:uiPriority w:val="1"/>
    <w:qFormat/>
    <w:rsid w:val="007D687E"/>
    <w:rPr>
      <w:rFonts w:eastAsia="Times New Roman"/>
      <w:sz w:val="24"/>
      <w:szCs w:val="24"/>
    </w:rPr>
  </w:style>
  <w:style w:type="paragraph" w:styleId="ListParagraph">
    <w:name w:val="List Paragraph"/>
    <w:basedOn w:val="Normal"/>
    <w:qFormat/>
    <w:rsid w:val="007A7866"/>
    <w:pPr>
      <w:ind w:left="720"/>
      <w:contextualSpacing/>
    </w:pPr>
  </w:style>
  <w:style w:type="paragraph" w:styleId="Header">
    <w:name w:val="header"/>
    <w:basedOn w:val="Normal"/>
    <w:link w:val="HeaderChar"/>
    <w:uiPriority w:val="99"/>
    <w:unhideWhenUsed/>
    <w:rsid w:val="003B3178"/>
    <w:pPr>
      <w:tabs>
        <w:tab w:val="center" w:pos="4680"/>
        <w:tab w:val="right" w:pos="9360"/>
      </w:tabs>
    </w:pPr>
  </w:style>
  <w:style w:type="character" w:customStyle="1" w:styleId="HeaderChar">
    <w:name w:val="Header Char"/>
    <w:link w:val="Header"/>
    <w:uiPriority w:val="99"/>
    <w:rsid w:val="003B3178"/>
    <w:rPr>
      <w:rFonts w:eastAsia="Times New Roman"/>
      <w:sz w:val="24"/>
      <w:szCs w:val="24"/>
    </w:rPr>
  </w:style>
  <w:style w:type="paragraph" w:styleId="Footer">
    <w:name w:val="footer"/>
    <w:basedOn w:val="Normal"/>
    <w:link w:val="FooterChar"/>
    <w:uiPriority w:val="99"/>
    <w:unhideWhenUsed/>
    <w:rsid w:val="003B3178"/>
    <w:pPr>
      <w:tabs>
        <w:tab w:val="center" w:pos="4680"/>
        <w:tab w:val="right" w:pos="9360"/>
      </w:tabs>
    </w:pPr>
  </w:style>
  <w:style w:type="character" w:customStyle="1" w:styleId="FooterChar">
    <w:name w:val="Footer Char"/>
    <w:link w:val="Footer"/>
    <w:uiPriority w:val="99"/>
    <w:rsid w:val="003B3178"/>
    <w:rPr>
      <w:rFonts w:eastAsia="Times New Roman"/>
      <w:sz w:val="24"/>
      <w:szCs w:val="24"/>
    </w:rPr>
  </w:style>
  <w:style w:type="paragraph" w:styleId="BalloonText">
    <w:name w:val="Balloon Text"/>
    <w:basedOn w:val="Normal"/>
    <w:link w:val="BalloonTextChar"/>
    <w:uiPriority w:val="99"/>
    <w:semiHidden/>
    <w:unhideWhenUsed/>
    <w:rsid w:val="00A671CC"/>
    <w:rPr>
      <w:rFonts w:ascii="Tahoma" w:hAnsi="Tahoma"/>
      <w:sz w:val="16"/>
      <w:szCs w:val="16"/>
    </w:rPr>
  </w:style>
  <w:style w:type="character" w:customStyle="1" w:styleId="BalloonTextChar">
    <w:name w:val="Balloon Text Char"/>
    <w:link w:val="BalloonText"/>
    <w:uiPriority w:val="99"/>
    <w:semiHidden/>
    <w:rsid w:val="00A671CC"/>
    <w:rPr>
      <w:rFonts w:ascii="Tahoma" w:eastAsia="Times New Roman" w:hAnsi="Tahoma" w:cs="Tahoma"/>
      <w:sz w:val="16"/>
      <w:szCs w:val="16"/>
    </w:rPr>
  </w:style>
  <w:style w:type="paragraph" w:styleId="BodyText">
    <w:name w:val="Body Text"/>
    <w:basedOn w:val="Normal"/>
    <w:link w:val="BodyTextChar"/>
    <w:uiPriority w:val="99"/>
    <w:semiHidden/>
    <w:unhideWhenUsed/>
    <w:rsid w:val="00FB1FA6"/>
    <w:pPr>
      <w:spacing w:after="120"/>
    </w:pPr>
  </w:style>
  <w:style w:type="character" w:customStyle="1" w:styleId="BodyTextChar">
    <w:name w:val="Body Text Char"/>
    <w:link w:val="BodyText"/>
    <w:uiPriority w:val="99"/>
    <w:semiHidden/>
    <w:rsid w:val="00FB1FA6"/>
    <w:rPr>
      <w:rFonts w:eastAsia="Times New Roman"/>
      <w:sz w:val="24"/>
      <w:szCs w:val="24"/>
    </w:rPr>
  </w:style>
  <w:style w:type="character" w:customStyle="1" w:styleId="Heading4Char">
    <w:name w:val="Heading 4 Char"/>
    <w:link w:val="Heading4"/>
    <w:uiPriority w:val="9"/>
    <w:semiHidden/>
    <w:rsid w:val="00C40B24"/>
    <w:rPr>
      <w:rFonts w:ascii="Calibri" w:eastAsia="Times New Roman" w:hAnsi="Calibri" w:cs="Times New Roman"/>
      <w:b/>
      <w:bCs/>
      <w:sz w:val="28"/>
      <w:szCs w:val="28"/>
    </w:rPr>
  </w:style>
  <w:style w:type="paragraph" w:styleId="BodyText3">
    <w:name w:val="Body Text 3"/>
    <w:basedOn w:val="Normal"/>
    <w:link w:val="BodyText3Char"/>
    <w:rsid w:val="00C40B24"/>
    <w:pPr>
      <w:spacing w:after="120"/>
    </w:pPr>
    <w:rPr>
      <w:rFonts w:ascii=".VnTime" w:hAnsi=".VnTime"/>
      <w:sz w:val="16"/>
      <w:szCs w:val="16"/>
    </w:rPr>
  </w:style>
  <w:style w:type="character" w:customStyle="1" w:styleId="BodyText3Char">
    <w:name w:val="Body Text 3 Char"/>
    <w:link w:val="BodyText3"/>
    <w:rsid w:val="00C40B24"/>
    <w:rPr>
      <w:rFonts w:ascii=".VnTime" w:eastAsia="Times New Roman" w:hAnsi=".VnTime"/>
      <w:sz w:val="16"/>
      <w:szCs w:val="16"/>
    </w:rPr>
  </w:style>
  <w:style w:type="character" w:styleId="Strong">
    <w:name w:val="Strong"/>
    <w:basedOn w:val="DefaultParagraphFont"/>
    <w:uiPriority w:val="22"/>
    <w:qFormat/>
    <w:rsid w:val="002E2F8A"/>
    <w:rPr>
      <w:b/>
      <w:bCs/>
    </w:rPr>
  </w:style>
  <w:style w:type="paragraph" w:styleId="NormalWeb">
    <w:name w:val="Normal (Web)"/>
    <w:basedOn w:val="Normal"/>
    <w:uiPriority w:val="99"/>
    <w:semiHidden/>
    <w:unhideWhenUsed/>
    <w:rsid w:val="002E2F8A"/>
    <w:pPr>
      <w:spacing w:before="100" w:beforeAutospacing="1" w:after="100" w:afterAutospacing="1"/>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035162">
      <w:bodyDiv w:val="1"/>
      <w:marLeft w:val="0"/>
      <w:marRight w:val="0"/>
      <w:marTop w:val="0"/>
      <w:marBottom w:val="0"/>
      <w:divBdr>
        <w:top w:val="none" w:sz="0" w:space="0" w:color="auto"/>
        <w:left w:val="none" w:sz="0" w:space="0" w:color="auto"/>
        <w:bottom w:val="none" w:sz="0" w:space="0" w:color="auto"/>
        <w:right w:val="none" w:sz="0" w:space="0" w:color="auto"/>
      </w:divBdr>
    </w:div>
    <w:div w:id="122803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78E79-7E19-4F69-87A4-FF310FE92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4</Pages>
  <Words>757</Words>
  <Characters>4317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dzungnb</dc:creator>
  <cp:lastModifiedBy>Ton Luong Anh</cp:lastModifiedBy>
  <cp:revision>50</cp:revision>
  <cp:lastPrinted>2025-11-01T10:04:00Z</cp:lastPrinted>
  <dcterms:created xsi:type="dcterms:W3CDTF">2018-10-25T04:28:00Z</dcterms:created>
  <dcterms:modified xsi:type="dcterms:W3CDTF">2025-11-11T02:13:00Z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b495a3b5-8eb6-4235-abbe-f6f3f259373b</vt:lpwstr>
  </property>
</Properties>
</file>