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eastAsia="Times New Roman"/>
          <w:b/>
          <w:i w:val="0"/>
          <w:sz w:val="30"/>
        </w:rPr>
        <w:t>YÊU CẦU CÔNG NHẬN SÁNG KIẾN CẤP CƠ SỞ</w:t>
      </w:r>
    </w:p>
    <w:p>
      <w:pPr>
        <w:spacing w:after="120" w:before="0"/>
      </w:pPr>
      <w:r>
        <w:rPr>
          <w:rFonts w:ascii="Times New Roman" w:hAnsi="Times New Roman" w:eastAsia="Times New Roman"/>
          <w:b w:val="0"/>
          <w:i w:val="0"/>
          <w:sz w:val="26"/>
        </w:rPr>
        <w:t>Kính gửi: Hội đồng sáng kiến Trung tâm Viễn thông Sơn Tây</w:t>
      </w:r>
    </w:p>
    <w:p>
      <w:pPr>
        <w:spacing w:after="80" w:before="0"/>
      </w:pPr>
      <w:r>
        <w:rPr>
          <w:rFonts w:ascii="Times New Roman" w:hAnsi="Times New Roman" w:eastAsia="Times New Roman"/>
          <w:b w:val="0"/>
          <w:i w:val="0"/>
          <w:sz w:val="26"/>
        </w:rPr>
        <w:t>Chúng tôi ghi tên dưới đây: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6"/>
        <w:gridCol w:w="1176"/>
        <w:gridCol w:w="1176"/>
        <w:gridCol w:w="1176"/>
        <w:gridCol w:w="1176"/>
        <w:gridCol w:w="1176"/>
        <w:gridCol w:w="1176"/>
        <w:gridCol w:w="1176"/>
      </w:tblGrid>
      <w:tr>
        <w:tc>
          <w:tcPr>
            <w:tcW w:type="dxa" w:w="1176"/>
            <w:vAlign w:val="center"/>
            <w:shd w:fill="D9EAF7"/>
          </w:tcPr>
          <w:p>
            <w:pPr>
              <w:jc w:val="center"/>
            </w:pPr>
            <w:r/>
            <w:r>
              <w:rPr>
                <w:rFonts w:ascii="Times New Roman" w:hAnsi="Times New Roman" w:eastAsia="Times New Roman"/>
                <w:b/>
                <w:i w:val="0"/>
                <w:sz w:val="24"/>
              </w:rPr>
              <w:t>TT</w:t>
            </w:r>
          </w:p>
        </w:tc>
        <w:tc>
          <w:tcPr>
            <w:tcW w:type="dxa" w:w="1176"/>
            <w:vAlign w:val="center"/>
            <w:shd w:fill="D9EAF7"/>
          </w:tcPr>
          <w:p>
            <w:pPr>
              <w:jc w:val="center"/>
            </w:pPr>
            <w:r/>
            <w:r>
              <w:rPr>
                <w:rFonts w:ascii="Times New Roman" w:hAnsi="Times New Roman" w:eastAsia="Times New Roman"/>
                <w:b/>
                <w:i w:val="0"/>
                <w:sz w:val="24"/>
              </w:rPr>
              <w:t>Họ tên tác giả</w:t>
            </w:r>
          </w:p>
        </w:tc>
        <w:tc>
          <w:tcPr>
            <w:tcW w:type="dxa" w:w="1176"/>
            <w:vAlign w:val="center"/>
            <w:shd w:fill="D9EAF7"/>
          </w:tcPr>
          <w:p>
            <w:pPr>
              <w:jc w:val="center"/>
            </w:pPr>
            <w:r/>
            <w:r>
              <w:rPr>
                <w:rFonts w:ascii="Times New Roman" w:hAnsi="Times New Roman" w:eastAsia="Times New Roman"/>
                <w:b/>
                <w:i w:val="0"/>
                <w:sz w:val="24"/>
              </w:rPr>
              <w:t>Nam/Nữ</w:t>
            </w:r>
          </w:p>
        </w:tc>
        <w:tc>
          <w:tcPr>
            <w:tcW w:type="dxa" w:w="1176"/>
            <w:vAlign w:val="center"/>
            <w:shd w:fill="D9EAF7"/>
          </w:tcPr>
          <w:p>
            <w:pPr>
              <w:jc w:val="center"/>
            </w:pPr>
            <w:r/>
            <w:r>
              <w:rPr>
                <w:rFonts w:ascii="Times New Roman" w:hAnsi="Times New Roman" w:eastAsia="Times New Roman"/>
                <w:b/>
                <w:i w:val="0"/>
                <w:sz w:val="24"/>
              </w:rPr>
              <w:t>Trình độ chuyên môn</w:t>
            </w:r>
          </w:p>
        </w:tc>
        <w:tc>
          <w:tcPr>
            <w:tcW w:type="dxa" w:w="1176"/>
            <w:vAlign w:val="center"/>
            <w:shd w:fill="D9EAF7"/>
          </w:tcPr>
          <w:p>
            <w:pPr>
              <w:jc w:val="center"/>
            </w:pPr>
            <w:r/>
            <w:r>
              <w:rPr>
                <w:rFonts w:ascii="Times New Roman" w:hAnsi="Times New Roman" w:eastAsia="Times New Roman"/>
                <w:b/>
                <w:i w:val="0"/>
                <w:sz w:val="24"/>
              </w:rPr>
              <w:t>Chức vụ, Đơn vị công tác</w:t>
            </w:r>
          </w:p>
        </w:tc>
        <w:tc>
          <w:tcPr>
            <w:tcW w:type="dxa" w:w="1176"/>
            <w:vAlign w:val="center"/>
            <w:shd w:fill="D9EAF7"/>
          </w:tcPr>
          <w:p>
            <w:pPr>
              <w:jc w:val="center"/>
            </w:pPr>
            <w:r/>
            <w:r>
              <w:rPr>
                <w:rFonts w:ascii="Times New Roman" w:hAnsi="Times New Roman" w:eastAsia="Times New Roman"/>
                <w:b/>
                <w:i w:val="0"/>
                <w:sz w:val="24"/>
              </w:rPr>
              <w:t>Chủ trì SK</w:t>
            </w:r>
          </w:p>
        </w:tc>
        <w:tc>
          <w:tcPr>
            <w:tcW w:type="dxa" w:w="1176"/>
            <w:vAlign w:val="center"/>
            <w:shd w:fill="D9EAF7"/>
          </w:tcPr>
          <w:p>
            <w:pPr>
              <w:jc w:val="center"/>
            </w:pPr>
            <w:r/>
            <w:r>
              <w:rPr>
                <w:rFonts w:ascii="Times New Roman" w:hAnsi="Times New Roman" w:eastAsia="Times New Roman"/>
                <w:b/>
                <w:i w:val="0"/>
                <w:sz w:val="24"/>
              </w:rPr>
              <w:t>Tỉ lệ đóng góp</w:t>
            </w:r>
          </w:p>
        </w:tc>
        <w:tc>
          <w:tcPr>
            <w:tcW w:type="dxa" w:w="1176"/>
            <w:vAlign w:val="center"/>
            <w:shd w:fill="D9EAF7"/>
          </w:tcPr>
          <w:p>
            <w:pPr>
              <w:jc w:val="center"/>
            </w:pPr>
            <w:r/>
            <w:r>
              <w:rPr>
                <w:rFonts w:ascii="Times New Roman" w:hAnsi="Times New Roman" w:eastAsia="Times New Roman"/>
                <w:b/>
                <w:i w:val="0"/>
                <w:sz w:val="24"/>
              </w:rPr>
              <w:t>Ký tên</w:t>
            </w:r>
          </w:p>
        </w:tc>
      </w:tr>
      <w:tr>
        <w:tc>
          <w:tcPr>
            <w:tcW w:type="dxa" w:w="1176"/>
            <w:vAlign w:val="center"/>
          </w:tcPr>
          <w:p>
            <w:pPr>
              <w:jc w:val="center"/>
            </w:pPr>
            <w:r/>
            <w:r>
              <w:rPr>
                <w:rFonts w:ascii="Times New Roman" w:hAnsi="Times New Roman" w:eastAsia="Times New Roman"/>
                <w:b w:val="0"/>
                <w:i w:val="0"/>
                <w:sz w:val="24"/>
              </w:rPr>
              <w:t>1</w:t>
            </w:r>
          </w:p>
        </w:tc>
        <w:tc>
          <w:tcPr>
            <w:tcW w:type="dxa" w:w="1176"/>
            <w:vAlign w:val="center"/>
          </w:tcPr>
          <w:p>
            <w:pPr>
              <w:jc w:val="left"/>
            </w:pPr>
            <w:r/>
            <w:r>
              <w:rPr>
                <w:rFonts w:ascii="Times New Roman" w:hAnsi="Times New Roman" w:eastAsia="Times New Roman"/>
                <w:b w:val="0"/>
                <w:i w:val="0"/>
                <w:sz w:val="24"/>
              </w:rPr>
              <w:t>[Điền họ tên tác giả 1]</w:t>
            </w:r>
          </w:p>
        </w:tc>
        <w:tc>
          <w:tcPr>
            <w:tcW w:type="dxa" w:w="1176"/>
            <w:vAlign w:val="center"/>
          </w:tcPr>
          <w:p>
            <w:pPr>
              <w:jc w:val="center"/>
            </w:pPr>
            <w:r/>
            <w:r>
              <w:rPr>
                <w:rFonts w:ascii="Times New Roman" w:hAnsi="Times New Roman" w:eastAsia="Times New Roman"/>
                <w:b w:val="0"/>
                <w:i w:val="0"/>
                <w:sz w:val="24"/>
              </w:rPr>
              <w:t>[Điền]</w:t>
            </w:r>
          </w:p>
        </w:tc>
        <w:tc>
          <w:tcPr>
            <w:tcW w:type="dxa" w:w="1176"/>
            <w:vAlign w:val="center"/>
          </w:tcPr>
          <w:p>
            <w:pPr>
              <w:jc w:val="left"/>
            </w:pPr>
            <w:r/>
            <w:r>
              <w:rPr>
                <w:rFonts w:ascii="Times New Roman" w:hAnsi="Times New Roman" w:eastAsia="Times New Roman"/>
                <w:b w:val="0"/>
                <w:i w:val="0"/>
                <w:sz w:val="24"/>
              </w:rPr>
              <w:t>[Điền]</w:t>
            </w:r>
          </w:p>
        </w:tc>
        <w:tc>
          <w:tcPr>
            <w:tcW w:type="dxa" w:w="1176"/>
            <w:vAlign w:val="center"/>
          </w:tcPr>
          <w:p>
            <w:pPr>
              <w:jc w:val="left"/>
            </w:pPr>
            <w:r/>
            <w:r>
              <w:rPr>
                <w:rFonts w:ascii="Times New Roman" w:hAnsi="Times New Roman" w:eastAsia="Times New Roman"/>
                <w:b w:val="0"/>
                <w:i w:val="0"/>
                <w:sz w:val="24"/>
              </w:rPr>
              <w:t>Trung tâm Viễn thông Sơn Tây</w:t>
            </w:r>
          </w:p>
        </w:tc>
        <w:tc>
          <w:tcPr>
            <w:tcW w:type="dxa" w:w="1176"/>
            <w:vAlign w:val="center"/>
          </w:tcPr>
          <w:p>
            <w:pPr>
              <w:jc w:val="center"/>
            </w:pPr>
            <w:r/>
            <w:r>
              <w:rPr>
                <w:rFonts w:ascii="Times New Roman" w:hAnsi="Times New Roman" w:eastAsia="Times New Roman"/>
                <w:b w:val="0"/>
                <w:i w:val="0"/>
                <w:sz w:val="24"/>
              </w:rPr>
              <w:t>X</w:t>
            </w:r>
          </w:p>
        </w:tc>
        <w:tc>
          <w:tcPr>
            <w:tcW w:type="dxa" w:w="1176"/>
            <w:vAlign w:val="center"/>
          </w:tcPr>
          <w:p>
            <w:pPr>
              <w:jc w:val="center"/>
            </w:pPr>
            <w:r/>
            <w:r>
              <w:rPr>
                <w:rFonts w:ascii="Times New Roman" w:hAnsi="Times New Roman" w:eastAsia="Times New Roman"/>
                <w:b w:val="0"/>
                <w:i w:val="0"/>
                <w:sz w:val="24"/>
              </w:rPr>
              <w:t>[Điền %]</w:t>
            </w:r>
          </w:p>
        </w:tc>
        <w:tc>
          <w:tcPr>
            <w:tcW w:type="dxa" w:w="1176"/>
            <w:vAlign w:val="center"/>
          </w:tcPr>
          <w:p>
            <w:pPr>
              <w:jc w:val="center"/>
            </w:pPr>
            <w:r/>
            <w:r>
              <w:rPr>
                <w:rFonts w:ascii="Times New Roman" w:hAnsi="Times New Roman" w:eastAsia="Times New Roman"/>
                <w:b w:val="0"/>
                <w:i w:val="0"/>
                <w:sz w:val="24"/>
              </w:rPr>
            </w:r>
          </w:p>
        </w:tc>
      </w:tr>
      <w:tr>
        <w:tc>
          <w:tcPr>
            <w:tcW w:type="dxa" w:w="1176"/>
            <w:vAlign w:val="center"/>
          </w:tcPr>
          <w:p>
            <w:pPr>
              <w:jc w:val="center"/>
            </w:pPr>
            <w:r/>
            <w:r>
              <w:rPr>
                <w:rFonts w:ascii="Times New Roman" w:hAnsi="Times New Roman" w:eastAsia="Times New Roman"/>
                <w:b w:val="0"/>
                <w:i w:val="0"/>
                <w:sz w:val="24"/>
              </w:rPr>
              <w:t>2</w:t>
            </w:r>
          </w:p>
        </w:tc>
        <w:tc>
          <w:tcPr>
            <w:tcW w:type="dxa" w:w="1176"/>
            <w:vAlign w:val="center"/>
          </w:tcPr>
          <w:p>
            <w:pPr>
              <w:jc w:val="left"/>
            </w:pPr>
            <w:r/>
            <w:r>
              <w:rPr>
                <w:rFonts w:ascii="Times New Roman" w:hAnsi="Times New Roman" w:eastAsia="Times New Roman"/>
                <w:b w:val="0"/>
                <w:i w:val="0"/>
                <w:sz w:val="24"/>
              </w:rPr>
              <w:t>[Điền họ tên tác giả 2 nếu có]</w:t>
            </w:r>
          </w:p>
        </w:tc>
        <w:tc>
          <w:tcPr>
            <w:tcW w:type="dxa" w:w="1176"/>
            <w:vAlign w:val="center"/>
          </w:tcPr>
          <w:p>
            <w:pPr>
              <w:jc w:val="center"/>
            </w:pPr>
            <w:r/>
            <w:r>
              <w:rPr>
                <w:rFonts w:ascii="Times New Roman" w:hAnsi="Times New Roman" w:eastAsia="Times New Roman"/>
                <w:b w:val="0"/>
                <w:i w:val="0"/>
                <w:sz w:val="24"/>
              </w:rPr>
              <w:t>[Điền]</w:t>
            </w:r>
          </w:p>
        </w:tc>
        <w:tc>
          <w:tcPr>
            <w:tcW w:type="dxa" w:w="1176"/>
            <w:vAlign w:val="center"/>
          </w:tcPr>
          <w:p>
            <w:pPr>
              <w:jc w:val="left"/>
            </w:pPr>
            <w:r/>
            <w:r>
              <w:rPr>
                <w:rFonts w:ascii="Times New Roman" w:hAnsi="Times New Roman" w:eastAsia="Times New Roman"/>
                <w:b w:val="0"/>
                <w:i w:val="0"/>
                <w:sz w:val="24"/>
              </w:rPr>
              <w:t>[Điền]</w:t>
            </w:r>
          </w:p>
        </w:tc>
        <w:tc>
          <w:tcPr>
            <w:tcW w:type="dxa" w:w="1176"/>
            <w:vAlign w:val="center"/>
          </w:tcPr>
          <w:p>
            <w:pPr>
              <w:jc w:val="left"/>
            </w:pPr>
            <w:r/>
            <w:r>
              <w:rPr>
                <w:rFonts w:ascii="Times New Roman" w:hAnsi="Times New Roman" w:eastAsia="Times New Roman"/>
                <w:b w:val="0"/>
                <w:i w:val="0"/>
                <w:sz w:val="24"/>
              </w:rPr>
              <w:t>Trung tâm Viễn thông Sơn Tây</w:t>
            </w:r>
          </w:p>
        </w:tc>
        <w:tc>
          <w:tcPr>
            <w:tcW w:type="dxa" w:w="1176"/>
            <w:vAlign w:val="center"/>
          </w:tcPr>
          <w:p>
            <w:pPr>
              <w:jc w:val="center"/>
            </w:pPr>
            <w:r/>
            <w:r>
              <w:rPr>
                <w:rFonts w:ascii="Times New Roman" w:hAnsi="Times New Roman" w:eastAsia="Times New Roman"/>
                <w:b w:val="0"/>
                <w:i w:val="0"/>
                <w:sz w:val="24"/>
              </w:rPr>
            </w:r>
          </w:p>
        </w:tc>
        <w:tc>
          <w:tcPr>
            <w:tcW w:type="dxa" w:w="1176"/>
            <w:vAlign w:val="center"/>
          </w:tcPr>
          <w:p>
            <w:pPr>
              <w:jc w:val="center"/>
            </w:pPr>
            <w:r/>
            <w:r>
              <w:rPr>
                <w:rFonts w:ascii="Times New Roman" w:hAnsi="Times New Roman" w:eastAsia="Times New Roman"/>
                <w:b w:val="0"/>
                <w:i w:val="0"/>
                <w:sz w:val="24"/>
              </w:rPr>
              <w:t>[Điền %]</w:t>
            </w:r>
          </w:p>
        </w:tc>
        <w:tc>
          <w:tcPr>
            <w:tcW w:type="dxa" w:w="1176"/>
            <w:vAlign w:val="center"/>
          </w:tcPr>
          <w:p>
            <w:pPr>
              <w:jc w:val="center"/>
            </w:pPr>
            <w:r/>
            <w:r>
              <w:rPr>
                <w:rFonts w:ascii="Times New Roman" w:hAnsi="Times New Roman" w:eastAsia="Times New Roman"/>
                <w:b w:val="0"/>
                <w:i w:val="0"/>
                <w:sz w:val="24"/>
              </w:rPr>
            </w:r>
          </w:p>
        </w:tc>
      </w:tr>
    </w:tbl>
    <w:p>
      <w:pPr>
        <w:spacing w:after="80" w:before="0"/>
      </w:pPr>
      <w:r>
        <w:rPr>
          <w:rFonts w:ascii="Times New Roman" w:hAnsi="Times New Roman" w:eastAsia="Times New Roman"/>
          <w:b w:val="0"/>
          <w:i w:val="0"/>
          <w:sz w:val="26"/>
        </w:rPr>
      </w:r>
    </w:p>
    <w:p>
      <w:pPr>
        <w:spacing w:after="40" w:before="0"/>
      </w:pPr>
      <w:r>
        <w:rPr>
          <w:rFonts w:ascii="Times New Roman" w:hAnsi="Times New Roman" w:eastAsia="Times New Roman"/>
          <w:b w:val="0"/>
          <w:i w:val="0"/>
          <w:sz w:val="26"/>
        </w:rPr>
        <w:t>Điện thoại: [Điền số điện thoại]</w:t>
      </w:r>
    </w:p>
    <w:p>
      <w:pPr>
        <w:spacing w:after="40" w:before="0"/>
      </w:pPr>
      <w:r>
        <w:rPr>
          <w:rFonts w:ascii="Times New Roman" w:hAnsi="Times New Roman" w:eastAsia="Times New Roman"/>
          <w:b w:val="0"/>
          <w:i w:val="0"/>
          <w:sz w:val="26"/>
        </w:rPr>
        <w:t>Email: [Điền email]</w:t>
      </w:r>
    </w:p>
    <w:p>
      <w:pPr>
        <w:spacing w:after="120" w:before="0"/>
      </w:pPr>
      <w:r>
        <w:rPr>
          <w:rFonts w:ascii="Times New Roman" w:hAnsi="Times New Roman" w:eastAsia="Times New Roman"/>
          <w:b w:val="0"/>
          <w:i w:val="0"/>
          <w:sz w:val="26"/>
        </w:rPr>
        <w:t>Địa chỉ bưu điện: Trung tâm Viễn thông Sơn Tây, VNPT Hà Nội</w:t>
      </w:r>
    </w:p>
    <w:p>
      <w:pPr>
        <w:spacing w:after="120" w:before="0"/>
      </w:pPr>
      <w:r>
        <w:rPr>
          <w:rFonts w:ascii="Times New Roman" w:hAnsi="Times New Roman" w:eastAsia="Times New Roman"/>
          <w:b w:val="0"/>
          <w:i w:val="0"/>
          <w:sz w:val="26"/>
        </w:rPr>
        <w:t>Căn cứ quy định hiện hành của Tập đoàn về hoạt động sáng kiến, sáng tạo, chúng tôi đề nghị xét công nhận sáng kiến cấp cơ sở với nội dung sau:</w:t>
      </w:r>
    </w:p>
    <w:p>
      <w:pPr>
        <w:spacing w:after="80" w:before="0"/>
      </w:pPr>
      <w:r>
        <w:rPr>
          <w:rFonts w:ascii="Times New Roman" w:hAnsi="Times New Roman" w:eastAsia="Times New Roman"/>
          <w:b w:val="0"/>
          <w:i w:val="0"/>
          <w:sz w:val="26"/>
        </w:rPr>
      </w:r>
    </w:p>
    <w:p>
      <w:pPr>
        <w:spacing w:after="120" w:before="0"/>
        <w:jc w:val="center"/>
      </w:pPr>
      <w:r>
        <w:rPr>
          <w:rFonts w:ascii="Times New Roman" w:hAnsi="Times New Roman" w:eastAsia="Times New Roman"/>
          <w:b/>
          <w:i w:val="0"/>
          <w:sz w:val="28"/>
        </w:rPr>
        <w:t>“Xây dựng dashboard giám sát các chỉ tiêu chất lượng, hỗ trợ công tác theo dõi chỉ tiêu, chỉ số và công tác quản trị tại Trung tâm Viễn thông Sơn Tây”</w:t>
      </w:r>
    </w:p>
    <w:p>
      <w:pPr>
        <w:spacing w:after="40" w:before="0"/>
      </w:pPr>
      <w:r>
        <w:rPr>
          <w:rFonts w:ascii="Times New Roman" w:hAnsi="Times New Roman" w:eastAsia="Times New Roman"/>
          <w:b w:val="0"/>
          <w:i w:val="0"/>
          <w:sz w:val="26"/>
        </w:rPr>
        <w:t>Sáng kiến này đã được bắt đầu áp dụng từ: [Điền thời điểm áp dụng]</w:t>
      </w:r>
    </w:p>
    <w:p>
      <w:pPr>
        <w:spacing w:after="160" w:before="0"/>
      </w:pPr>
      <w:r>
        <w:rPr>
          <w:rFonts w:ascii="Times New Roman" w:hAnsi="Times New Roman" w:eastAsia="Times New Roman"/>
          <w:b w:val="0"/>
          <w:i w:val="0"/>
          <w:sz w:val="26"/>
        </w:rPr>
        <w:t>Địa điểm áp dụng: Trung tâm Viễn thông Sơn Tây, VNPT Hà Nội</w:t>
      </w:r>
    </w:p>
    <w:p>
      <w:pPr>
        <w:spacing w:after="160" w:before="0"/>
        <w:jc w:val="center"/>
      </w:pPr>
      <w:r>
        <w:rPr>
          <w:rFonts w:ascii="Times New Roman" w:hAnsi="Times New Roman" w:eastAsia="Times New Roman"/>
          <w:b/>
          <w:i w:val="0"/>
          <w:sz w:val="28"/>
        </w:rPr>
        <w:t>Mô tả sáng kiến</w:t>
      </w:r>
    </w:p>
    <w:p>
      <w:pPr>
        <w:spacing w:after="80" w:before="80"/>
      </w:pPr>
      <w:r>
        <w:rPr>
          <w:rFonts w:ascii="Times New Roman" w:hAnsi="Times New Roman" w:eastAsia="Times New Roman"/>
          <w:b/>
          <w:i w:val="0"/>
          <w:sz w:val="26"/>
        </w:rPr>
        <w:t>1. Mục tiêu</w:t>
      </w:r>
    </w:p>
    <w:p>
      <w:pPr>
        <w:spacing w:after="80" w:before="0"/>
        <w:ind w:firstLine="567"/>
      </w:pPr>
      <w:r>
        <w:rPr>
          <w:rFonts w:ascii="Times New Roman" w:hAnsi="Times New Roman" w:eastAsia="Times New Roman"/>
          <w:b w:val="0"/>
          <w:i w:val="0"/>
          <w:sz w:val="26"/>
        </w:rPr>
        <w:t>Sáng kiến được xây dựng nhằm hình thành một dashboard tập trung phục vụ theo dõi, giám sát và tổng hợp các chỉ tiêu chất lượng sản xuất kinh doanh của Trung tâm Viễn thông Sơn Tây trên cùng một nền tảng web nội bộ. Mục tiêu trực tiếp là rút ngắn thời gian tổng hợp số liệu, giúp lãnh đạo và cán bộ nghiệp vụ theo dõi nhanh các chỉ tiêu C1, I1.5, kết quả xử lý SHC, tình trạng phiếu BRCD/PTTB và một số dữ liệu điều hành liên quan mà không phải mở rời rạc nhiều file Excel, nhiều nguồn dữ liệu hoặc truy vấn thủ công.</w:t>
      </w:r>
    </w:p>
    <w:p>
      <w:pPr>
        <w:spacing w:after="80" w:before="0"/>
        <w:ind w:firstLine="567"/>
      </w:pPr>
      <w:r>
        <w:rPr>
          <w:rFonts w:ascii="Times New Roman" w:hAnsi="Times New Roman" w:eastAsia="Times New Roman"/>
          <w:b w:val="0"/>
          <w:i w:val="0"/>
          <w:sz w:val="26"/>
        </w:rPr>
        <w:t>Sáng kiến đồng thời hướng tới chuẩn hóa phương thức khai thác số liệu theo tổ địa bàn, theo nhân viên kỹ thuật và theo ngày, tháng, tạo điều kiện cho công tác điều hành, nhắc việc, đánh giá tiến độ và phát hiện sớm các điểm nghẽn trong quá trình thực hiện chỉ tiêu chất lượng. Trên thực tế, dashboard không hoạt động như một lớp hiển thị tách rời mà được đặt ở cuối chuỗi dữ liệu đã được tự động hóa từ baocao.hanoi.vnpt.vn, nơi các báo cáo đầu vào được tải về, chuẩn hóa và kết xuất thành các file Excel phục vụ khai thác tiếp theo.</w:t>
      </w:r>
    </w:p>
    <w:p>
      <w:pPr>
        <w:spacing w:after="80" w:before="80"/>
      </w:pPr>
      <w:r>
        <w:rPr>
          <w:rFonts w:ascii="Times New Roman" w:hAnsi="Times New Roman" w:eastAsia="Times New Roman"/>
          <w:b/>
          <w:i w:val="0"/>
          <w:sz w:val="26"/>
        </w:rPr>
        <w:t>2. Lý do đề xuất sáng kiến</w:t>
      </w:r>
    </w:p>
    <w:p>
      <w:pPr>
        <w:spacing w:after="80" w:before="0"/>
        <w:ind w:firstLine="567"/>
      </w:pPr>
      <w:r>
        <w:rPr>
          <w:rFonts w:ascii="Times New Roman" w:hAnsi="Times New Roman" w:eastAsia="Times New Roman"/>
          <w:b w:val="0"/>
          <w:i w:val="0"/>
          <w:sz w:val="26"/>
        </w:rPr>
        <w:t>Trước khi hình thành chuỗi giải pháp hiện tại, việc theo dõi các chỉ tiêu chất lượng tại đơn vị thường phải dựa vào nhiều file Excel đầu ra từ các hệ thống khác nhau, dữ liệu lưu ở nhiều thư mục riêng, cấu trúc file không đồng nhất và mức độ cập nhật phụ thuộc vào từng nguồn. Muốn có số liệu để đưa lên màn hình điều hành, cán bộ phụ trách trước hết phải đăng nhập vào hệ thống báo cáo, tải thủ công nhiều biểu mẫu chuyên đề, đổi tên tệp, xử lý Excel, rồi mới tiếp tục tổng hợp thành các bảng theo dõi. Khi cần đánh giá nhanh tình hình chất lượng trong ngày hoặc trong tháng, cán bộ quản trị phải mở nhiều tệp, đối chiếu thủ công giữa bảng tổng hợp và bảng chi tiết, sau đó mới có thể xác định tổ nào chưa đạt, nhân sự nào cần đôn đốc, hoặc chỉ tiêu nào có dấu hiệu suy giảm.</w:t>
      </w:r>
    </w:p>
    <w:p>
      <w:pPr>
        <w:spacing w:after="80" w:before="0"/>
        <w:ind w:firstLine="567"/>
      </w:pPr>
      <w:r>
        <w:rPr>
          <w:rFonts w:ascii="Times New Roman" w:hAnsi="Times New Roman" w:eastAsia="Times New Roman"/>
          <w:b w:val="0"/>
          <w:i w:val="0"/>
          <w:sz w:val="26"/>
        </w:rPr>
        <w:t>Ngoài ra, một số chỉ tiêu cần nhìn đồng thời ở nhiều lớp thông tin như tổng hợp theo đơn vị, chi tiết theo tổ, chi tiết theo nhân viên kỹ thuật, dữ liệu biến động ngày T-1, số lượng ticket cần xử lý so với số đã xử lý thực tế. Nếu không có một lớp phần mềm trung gian để vừa tự động hóa đầu vào, vừa hợp nhất và chuẩn hóa dữ liệu đầu ra, công tác quản trị sẽ tốn nhiều thời gian, khó bảo đảm tính nhất quán và khó hình thành góc nhìn điều hành tức thời.</w:t>
      </w:r>
    </w:p>
    <w:p>
      <w:pPr>
        <w:spacing w:after="80" w:before="0"/>
        <w:ind w:firstLine="567"/>
      </w:pPr>
      <w:r>
        <w:rPr>
          <w:rFonts w:ascii="Times New Roman" w:hAnsi="Times New Roman" w:eastAsia="Times New Roman"/>
          <w:b w:val="0"/>
          <w:i w:val="0"/>
          <w:sz w:val="26"/>
        </w:rPr>
        <w:t>Xuất phát từ yêu cầu thực tế đó, việc xây dựng một dashboard nội bộ, có đăng nhập, có phân quyền, đọc dữ liệu tự động từ các nguồn Excel và SQLite sẵn có, đồng thời tiếp nhận dữ liệu đầu vào đã được tự động tải và xử lý từ baocao.hanoi.vnpt.vn, sau đó hiển thị theo cấu trúc trực quan và có khả năng tải xuống dữ liệu chi tiết là cần thiết và phù hợp.</w:t>
      </w:r>
    </w:p>
    <w:p>
      <w:pPr>
        <w:spacing w:after="80" w:before="80"/>
      </w:pPr>
      <w:r>
        <w:rPr>
          <w:rFonts w:ascii="Times New Roman" w:hAnsi="Times New Roman" w:eastAsia="Times New Roman"/>
          <w:b/>
          <w:i w:val="0"/>
          <w:sz w:val="26"/>
        </w:rPr>
        <w:t>3. Nội dung sáng kiến</w:t>
      </w:r>
    </w:p>
    <w:p>
      <w:pPr>
        <w:spacing w:after="80" w:before="0"/>
        <w:ind w:firstLine="567"/>
      </w:pPr>
      <w:r>
        <w:rPr>
          <w:rFonts w:ascii="Times New Roman" w:hAnsi="Times New Roman" w:eastAsia="Times New Roman"/>
          <w:b w:val="0"/>
          <w:i w:val="0"/>
          <w:sz w:val="26"/>
        </w:rPr>
        <w:t>Sáng kiến là việc xây dựng một ứng dụng web nội bộ trên nền Flask, tổ chức theo mô hình nhiều nhóm chức năng, trong đó nhóm chức năng phục vụ giám sát chỉ tiêu chất lượng được đặt làm trọng tâm. Điểm cần nhấn mạnh là dashboard này không phải một hệ thống nhập liệu độc lập, mà là lớp khai thác và điều hành được đặt trên đầu ra của một quy trình tự động hóa báo cáo từ baocao.hanoi.vnpt.vn. Theo tài liệu sáng kiến nguồn mà đơn vị đang sử dụng, chuỗi tự động hóa này được viết bằng Python để đăng nhập có OTP, tải nhiều nhóm báo cáo C1.x và báo cáo chuyên đề, chuẩn hóa dữ liệu NVKT, xử lý giảm trừ và kết xuất các file Excel đầu vào cho dashboard. Trên nền đầu vào đã được chuẩn hóa đó, hệ thống dashboard mới thực hiện bước hiển thị, giám sát, so sánh và quản trị điều hành.</w:t>
      </w:r>
    </w:p>
    <w:p>
      <w:pPr>
        <w:spacing w:after="80" w:before="0"/>
        <w:ind w:firstLine="567"/>
      </w:pPr>
      <w:r>
        <w:rPr>
          <w:rFonts w:ascii="Times New Roman" w:hAnsi="Times New Roman" w:eastAsia="Times New Roman"/>
          <w:b w:val="0"/>
          <w:i w:val="0"/>
          <w:sz w:val="26"/>
        </w:rPr>
        <w:t>Trên phạm vi chỉ tiêu chất lượng, hệ thống đã triển khai các trang C1 - Chất lượng phục vụ khách hàng, I1.5 - Chất lượng mạng cáp quang thuê bao, I1.5 K2 và Kết quả xử lý SHC; đồng thời hỗ trợ tải file Excel nguồn, xem chi tiết theo tổ địa bàn, theo NVKT, theo khung giờ và theo chu kỳ ngày, tháng. Các phân hệ điều hành liên quan như BRCD, PTTB, KPI NVKT, giám sát quang chủ động, vật tư và tiếp thị cũng được đặt trên cùng một nền tảng để phục vụ đối chiếu chéo khi cần quản trị tổng thể.</w:t>
      </w:r>
    </w:p>
    <w:p>
      <w:pPr>
        <w:spacing w:after="80" w:before="0"/>
        <w:ind w:firstLine="567"/>
      </w:pPr>
      <w:r>
        <w:rPr>
          <w:rFonts w:ascii="Times New Roman" w:hAnsi="Times New Roman" w:eastAsia="Times New Roman"/>
          <w:b w:val="0"/>
          <w:i w:val="0"/>
          <w:sz w:val="26"/>
        </w:rPr>
        <w:t>Điểm cốt lõi của sáng kiến là tạo ra một lớp khai thác điều hành thống nhất trên nền dữ liệu đầu vào đã được tự động hóa và chuẩn hóa trước đó. Người dùng chỉ cần đăng nhập, chọn phân hệ và bộ lọc liên quan là có thể xem tổng hợp, đi sâu tới dữ liệu chi tiết, tải file nguồn và bám sát trạng thái thực hiện theo từng tổ hoặc từng cá nhân mà không phải tự tải và làm sạch lại báo cáo từ hệ thống nguồn.</w:t>
      </w:r>
    </w:p>
    <w:p>
      <w:pPr>
        <w:spacing w:after="80" w:before="80"/>
      </w:pPr>
      <w:r>
        <w:rPr>
          <w:rFonts w:ascii="Times New Roman" w:hAnsi="Times New Roman" w:eastAsia="Times New Roman"/>
          <w:b/>
          <w:i w:val="0"/>
          <w:sz w:val="26"/>
        </w:rPr>
        <w:t>4. Kiến trúc phần mềm và nguyên lý hoạt động</w:t>
      </w:r>
    </w:p>
    <w:p>
      <w:pPr>
        <w:spacing w:after="80" w:before="0"/>
        <w:ind w:firstLine="567"/>
      </w:pPr>
      <w:r>
        <w:rPr>
          <w:rFonts w:ascii="Times New Roman" w:hAnsi="Times New Roman" w:eastAsia="Times New Roman"/>
          <w:b w:val="0"/>
          <w:i w:val="0"/>
          <w:sz w:val="26"/>
        </w:rPr>
        <w:t>Kiến trúc phần mềm của hệ thống được xây dựng theo mô hình nhiều lớp, tách biệt giữa lớp tự động hóa tạo nguồn dữ liệu đầu vào, lớp giao diện người dùng, lớp điều phối nghiệp vụ, lớp truy xuất dữ liệu và lớp bảo vệ truy cập. Ở lớp tự động hóa nguồn dữ liệu, theo tài liệu sáng kiến sang_kien_tu_dong_hoa_baocao_kpi.md do đơn vị cung cấp, một chương trình Python độc lập thực hiện đăng nhập vào baocao.hanoi.vnpt.vn, nhận OTP, tải các báo cáo chuyên đề, chuẩn hóa dữ liệu NVKT và đơn vị, xử lý giảm trừ và kết xuất các file Excel đầu ra theo cấu trúc chuẩn. Đây là nguồn cung cấp dữ liệu đầu vào rất quan trọng cho dashboard, đặc biệt đối với các báo cáo C1.x, báo cáo chi tiết SM1, SM2, SM4, các báo cáo thực tăng và một phần dữ liệu KPI liên quan. Ở lớp giao diện, hệ thống sử dụng các mẫu trang Jinja2 với khung dùng chung cho tiêu đề, sidebar, thanh tìm kiếm chức năng và menu điều hướng. Từ menu này, người dùng có thể truy cập trực tiếp vào các trang C1, I1.5, I1.5 K2, báo cáo kết quả xử lý SHC, KPI và các phân hệ quản trị liên quan. Mỗi trang được gắn một file JavaScript riêng để chủ động gọi API, nhận dữ liệu JSON và dựng bảng, tab, thẻ KPI hoặc vùng xem trước file chi tiết ngay trên trình duyệt.</w:t>
      </w:r>
    </w:p>
    <w:p>
      <w:pPr>
        <w:spacing w:after="80" w:before="0"/>
        <w:ind w:firstLine="567"/>
      </w:pPr>
      <w:r>
        <w:rPr>
          <w:rFonts w:ascii="Times New Roman" w:hAnsi="Times New Roman" w:eastAsia="Times New Roman"/>
          <w:b w:val="0"/>
          <w:i w:val="0"/>
          <w:sz w:val="26"/>
        </w:rPr>
        <w:t>Ở lớp ứng dụng, dashboard.py khởi tạo ứng dụng Flask, nạp cấu hình tập trung, bật cơ chế session và đăng ký các blueprint theo nhóm chức năng như auth, operations, quality, statistics, growth, inventory, retention, quangchudong. Với riêng mảng chất lượng, blueprints/quality_routes.py cung cấp các route giao diện và API dữ liệu như /api/c1-chat-luong-data, /api/c11-chi-tiet-data, /api/i15-data, /api/shc-variation-data, /api/shc-processing-report, /api/shc-nvkt-detail/files và /api/shc-nvkt-detail/preview. Nhờ đó, dashboard có thể vừa hiển thị tổng hợp, vừa cho phép đi sâu tới từng file, từng tổ và từng nhân viên.</w:t>
      </w:r>
    </w:p>
    <w:p>
      <w:pPr>
        <w:spacing w:after="80" w:before="0"/>
        <w:ind w:firstLine="567"/>
      </w:pPr>
      <w:r>
        <w:rPr>
          <w:rFonts w:ascii="Times New Roman" w:hAnsi="Times New Roman" w:eastAsia="Times New Roman"/>
          <w:b w:val="0"/>
          <w:i w:val="0"/>
          <w:sz w:val="26"/>
        </w:rPr>
        <w:t>Ở lớp dữ liệu, hệ thống đọc trực tiếp từ các nguồn đã có tại đơn vị. Dữ liệu chỉ tiêu C1, I1.5 và nhiều báo cáo chất lượng khác được lấy từ các file Excel trong thư mục tải báo cáo của Hà Nội; trong đó một phần quan trọng là các file đầu ra được tạo thành từ quy trình tự động hóa tải và xử lý báo cáo trên baocao.hanoi.vnpt.vn. Dữ liệu điều hành BRCD, PTTB và thống kê vòng đời phiếu được lấy từ file Excel nghiệp vụ và cơ sở dữ liệu SQLite brcd.db. Dữ liệu kết quả xử lý SHC được tổng hợp từ một cơ sở dữ liệu nội bộ nvkt_results.db kết hợp với các cơ sở dữ liệu nguồn suy_hao_history.db và suy_hao_history_k2.db. Thông tin tài khoản người dùng được quản lý trong file username.xlsx, còn lịch sử đăng nhập được lưu tại logs/login_history.csv.</w:t>
      </w:r>
    </w:p>
    <w:p>
      <w:pPr>
        <w:spacing w:after="80" w:before="0"/>
        <w:ind w:firstLine="567"/>
      </w:pPr>
      <w:r>
        <w:rPr>
          <w:rFonts w:ascii="Times New Roman" w:hAnsi="Times New Roman" w:eastAsia="Times New Roman"/>
          <w:b w:val="0"/>
          <w:i w:val="0"/>
          <w:sz w:val="26"/>
        </w:rPr>
        <w:t>Ở lớp xử lý dữ liệu, hệ thống sử dụng pandas để đọc sheet Excel, chuẩn hóa dữ liệu, nhóm theo cột tổ địa bàn hoặc nhân viên kỹ thuật, sắp xếp theo tỷ lệ đạt hoặc tỷ lệ cảnh báo, đồng thời tạo ra cấu trúc JSON thống nhất cho frontend. Hàm read_excel_sheet_cached trong app_helpers.py cho phép cache dữ liệu theo thời gian sửa đổi file để giảm số lần đọc Excel lặp lại. Module ticket_tracking.py lưu snapshot theo thời điểm, so sánh giữa các lần chụp để nhận diện phiếu mới nhận, phiếu xử lý xong và hình thành các bảng lịch sử, thống kê ngày. Dịch vụ services/shc_processing_report.py ghép dữ liệu đã xử lý và cần xử lý, sau đó tính tổng ngày, tổng tháng, tổng theo tổ và tổng theo cá nhân; đồng thời gắn cờ cảnh báo cho các trường hợp tổng đã xử lý nhỏ hơn 3 nhưng tổng cần xử lý từ 3 trở lên.</w:t>
      </w:r>
    </w:p>
    <w:p>
      <w:pPr>
        <w:spacing w:after="80" w:before="0"/>
        <w:ind w:firstLine="567"/>
      </w:pPr>
      <w:r>
        <w:rPr>
          <w:rFonts w:ascii="Times New Roman" w:hAnsi="Times New Roman" w:eastAsia="Times New Roman"/>
          <w:b w:val="0"/>
          <w:i w:val="0"/>
          <w:sz w:val="26"/>
        </w:rPr>
        <w:t>Ở lớp an toàn truy cập, hệ thống yêu cầu người dùng đăng nhập trước khi truy cập hầu hết các trang và API. Cơ chế session filesystem được kết hợp với kiểm tra đăng nhập toàn cục, token CSRF cho biểu mẫu và phân quyền admin để quản lý tài khoản. Việc ghi log đăng nhập giúp hỗ trợ kiểm tra, truy vết khi cần.</w:t>
      </w:r>
    </w:p>
    <w:p>
      <w:pPr>
        <w:spacing w:after="80" w:before="0"/>
        <w:ind w:firstLine="567"/>
      </w:pPr>
      <w:r>
        <w:rPr>
          <w:rFonts w:ascii="Times New Roman" w:hAnsi="Times New Roman" w:eastAsia="Times New Roman"/>
          <w:b w:val="0"/>
          <w:i w:val="0"/>
          <w:sz w:val="26"/>
        </w:rPr>
        <w:t>Nguyên lý hoạt động của dashboard diễn ra theo chu trình: dữ liệu đầu vào được các hệ thống nguồn hoặc các quy trình cập nhật nghiệp vụ tạo ra dưới dạng file Excel hoặc bản ghi SQLite; riêng với nhóm báo cáo từ baocao.hanoi.vnpt.vn, dữ liệu được một lớp tự động hóa riêng đăng nhập, tải về, chuẩn hóa và kết xuất thành các file đầu vào. Khi người dùng truy cập trang chất lượng, JavaScript gửi yêu cầu tới API tương ứng; backend xác định đường dẫn dữ liệu theo cấu hình, đọc file hoặc truy vấn cơ sở dữ liệu, thực hiện xử lý nhóm, sắp xếp, tổng hợp và trả về JSON; frontend nhận dữ liệu để dựng bảng tổng hợp, bảng chi tiết theo tab, thẻ KPI, trạng thái bộ lọc và các cảnh báo hiển thị trực quan; khi cần kiểm tra sâu hoặc gửi báo cáo, người dùng có thể tải trực tiếp file Excel nguồn ngay trên dashboard. Nhờ vậy, dashboard đóng vai trò lớp giám sát và điều hành ở cuối chuỗi, còn quá trình thu thập và chuẩn hóa dữ liệu nguồn đã được tự động hóa ở lớp trước.</w:t>
      </w:r>
    </w:p>
    <w:p>
      <w:pPr>
        <w:spacing w:after="80" w:before="80"/>
      </w:pPr>
      <w:r>
        <w:rPr>
          <w:rFonts w:ascii="Times New Roman" w:hAnsi="Times New Roman" w:eastAsia="Times New Roman"/>
          <w:b/>
          <w:i w:val="0"/>
          <w:sz w:val="26"/>
        </w:rPr>
        <w:t>5. Giá trị mới của sáng kiến</w:t>
      </w:r>
    </w:p>
    <w:p>
      <w:pPr>
        <w:spacing w:after="80" w:before="0"/>
        <w:ind w:firstLine="567"/>
      </w:pPr>
      <w:r>
        <w:rPr>
          <w:rFonts w:ascii="Times New Roman" w:hAnsi="Times New Roman" w:eastAsia="Times New Roman"/>
          <w:b w:val="0"/>
          <w:i w:val="0"/>
          <w:sz w:val="26"/>
        </w:rPr>
        <w:t>Giá trị mới thứ nhất là chuyển phương thức theo dõi chỉ tiêu từ mô hình rời rạc theo từng file sang mô hình dashboard tập trung, có thể truy cập theo vai trò người dùng và theo từng nhóm nghiệp vụ chất lượng. Cùng một cổng nội bộ, cán bộ quản lý có thể theo dõi được cả tổng hợp và chi tiết mà không phải thao tác thủ công trên nhiều nguồn. Giá trị này càng rõ hơn khi dashboard được đặt trên đầu ra của một lớp tự động hóa báo cáo nguồn, nhờ đó loại bỏ thêm một tầng thao tác tay trước khi dữ liệu được đưa vào điều hành.</w:t>
      </w:r>
    </w:p>
    <w:p>
      <w:pPr>
        <w:spacing w:after="80" w:before="0"/>
        <w:ind w:firstLine="567"/>
      </w:pPr>
      <w:r>
        <w:rPr>
          <w:rFonts w:ascii="Times New Roman" w:hAnsi="Times New Roman" w:eastAsia="Times New Roman"/>
          <w:b w:val="0"/>
          <w:i w:val="0"/>
          <w:sz w:val="26"/>
        </w:rPr>
        <w:t>Giá trị mới thứ hai là hệ thống đã hiện thực hóa cơ chế phân rã chỉ tiêu theo tổ địa bàn, theo nhân viên kỹ thuật, theo khung giờ hoặc theo chu kỳ ngày, tháng. Điều này giúp người điều hành không chỉ biết chỉ tiêu đang đạt hay chưa đạt mà còn xác định được ngay tổ nào, cá nhân nào hoặc nhóm chỉ tiêu nào đang cần tập trung xử lý.</w:t>
      </w:r>
    </w:p>
    <w:p>
      <w:pPr>
        <w:spacing w:after="80" w:before="0"/>
        <w:ind w:firstLine="567"/>
      </w:pPr>
      <w:r>
        <w:rPr>
          <w:rFonts w:ascii="Times New Roman" w:hAnsi="Times New Roman" w:eastAsia="Times New Roman"/>
          <w:b w:val="0"/>
          <w:i w:val="0"/>
          <w:sz w:val="26"/>
        </w:rPr>
        <w:t>Giá trị mới thứ ba là dashboard không chỉ hiển thị dữ liệu hiện trạng mà còn hỗ trợ đối chiếu giữa khối lượng cần xử lý và khối lượng đã xử lý, đặc biệt trong báo cáo SHC. Nhờ vậy, hệ thống trở thành công cụ giám sát thực thi chứ không chỉ là công cụ xem báo cáo.</w:t>
      </w:r>
    </w:p>
    <w:p>
      <w:pPr>
        <w:spacing w:after="80" w:before="0"/>
        <w:ind w:firstLine="567"/>
      </w:pPr>
      <w:r>
        <w:rPr>
          <w:rFonts w:ascii="Times New Roman" w:hAnsi="Times New Roman" w:eastAsia="Times New Roman"/>
          <w:b w:val="0"/>
          <w:i w:val="0"/>
          <w:sz w:val="26"/>
        </w:rPr>
        <w:t>Giá trị mới thứ tư là sáng kiến tạo được chuỗi liên thông từ nguồn phát sinh số liệu tới lớp khai thác điều hành. Ở lớp trước, báo cáo được tự động tải, làm sạch và kết xuất từ baocao.hanoi.vnpt.vn; ở lớp sau, dashboard tiếp nhận các đầu ra đó để hiển thị, so sánh và quản trị. Việc kết nối hai lớp theo một chuỗi dữ liệu thống nhất làm tăng độ kịp thời, giảm thao tác trung gian và nâng cao khả năng kiểm tra vết của toàn bộ quy trình.</w:t>
      </w:r>
    </w:p>
    <w:p>
      <w:pPr>
        <w:spacing w:after="80" w:before="0"/>
        <w:ind w:firstLine="567"/>
      </w:pPr>
      <w:r>
        <w:rPr>
          <w:rFonts w:ascii="Times New Roman" w:hAnsi="Times New Roman" w:eastAsia="Times New Roman"/>
          <w:b w:val="0"/>
          <w:i w:val="0"/>
          <w:sz w:val="26"/>
        </w:rPr>
        <w:t>Giá trị mới thứ năm là giải pháp được xây dựng trên nền các thư viện phổ biến, kiến trúc gọn, dễ bảo trì, dễ mở rộng thêm module, đồng thời chỉ đọc dữ liệu từ nguồn có sẵn nên ít làm thay đổi quy trình nghiệp vụ hiện hữu của đơn vị.</w:t>
      </w:r>
    </w:p>
    <w:p>
      <w:pPr>
        <w:spacing w:after="80" w:before="80"/>
      </w:pPr>
      <w:r>
        <w:rPr>
          <w:rFonts w:ascii="Times New Roman" w:hAnsi="Times New Roman" w:eastAsia="Times New Roman"/>
          <w:b/>
          <w:i w:val="0"/>
          <w:sz w:val="26"/>
        </w:rPr>
        <w:t>6. Đánh giá lợi ích</w:t>
      </w:r>
    </w:p>
    <w:p>
      <w:pPr>
        <w:spacing w:after="80" w:before="0"/>
        <w:ind w:firstLine="567"/>
      </w:pPr>
      <w:r>
        <w:rPr>
          <w:rFonts w:ascii="Times New Roman" w:hAnsi="Times New Roman" w:eastAsia="Times New Roman"/>
          <w:b w:val="0"/>
          <w:i w:val="0"/>
          <w:sz w:val="26"/>
        </w:rPr>
        <w:t>Về lợi ích quản trị, sáng kiến giúp lãnh đạo và bộ phận tổng hợp có được cái nhìn tập trung về các chỉ tiêu chất lượng, giảm thời gian mở và đối chiếu nhiều tệp dữ liệu, nâng cao khả năng phát hiện sớm điểm nghẽn và hỗ trợ giao việc bám sát theo tổ, theo NVKT. So với cách làm cũ, lợi ích không chỉ nằm ở giao diện giám sát mà còn ở việc dữ liệu đầu vào cho dashboard đã được chuẩn hóa tự động từ lớp báo cáo nguồn.</w:t>
      </w:r>
    </w:p>
    <w:p>
      <w:pPr>
        <w:spacing w:after="80" w:before="0"/>
        <w:ind w:firstLine="567"/>
      </w:pPr>
      <w:r>
        <w:rPr>
          <w:rFonts w:ascii="Times New Roman" w:hAnsi="Times New Roman" w:eastAsia="Times New Roman"/>
          <w:b w:val="0"/>
          <w:i w:val="0"/>
          <w:sz w:val="26"/>
        </w:rPr>
        <w:t>Về lợi ích nghiệp vụ, sáng kiến giúp chuẩn hóa cách đọc số liệu, cách khai thác báo cáo, giảm phụ thuộc vào thao tác thủ công của từng cá nhân, hỗ trợ truy xuất nhanh các file nguồn khi cần kiểm tra và làm rõ số liệu. Việc hiển thị theo tab, theo bộ lọc và theo mức độ chi tiết giúp cán bộ nghiệp vụ rút ngắn thời gian chuẩn bị báo cáo ngày, báo cáo tuần và báo cáo phục vụ điều hành. Khi kết hợp với lớp tự động hóa tải và xử lý báo cáo từ baocao.hanoi.vnpt.vn, giải pháp còn giảm thêm các công đoạn đăng nhập, tải file, đổi tên, chuẩn hóa và ghép nối dữ liệu trước khi khai thác trên dashboard.</w:t>
      </w:r>
    </w:p>
    <w:p>
      <w:pPr>
        <w:spacing w:after="80" w:before="0"/>
        <w:ind w:firstLine="567"/>
      </w:pPr>
      <w:r>
        <w:rPr>
          <w:rFonts w:ascii="Times New Roman" w:hAnsi="Times New Roman" w:eastAsia="Times New Roman"/>
          <w:b w:val="0"/>
          <w:i w:val="0"/>
          <w:sz w:val="26"/>
        </w:rPr>
        <w:t>[Điền số liệu định lượng về thời gian tiết kiệm, số lượt khai thác, mức giảm thao tác thủ công, mức cải thiện điều hành]</w:t>
      </w:r>
    </w:p>
    <w:p>
      <w:pPr>
        <w:spacing w:after="80" w:before="80"/>
      </w:pPr>
      <w:r>
        <w:rPr>
          <w:rFonts w:ascii="Times New Roman" w:hAnsi="Times New Roman" w:eastAsia="Times New Roman"/>
          <w:b/>
          <w:i w:val="0"/>
          <w:sz w:val="26"/>
        </w:rPr>
        <w:t>7. Khả năng áp dụng</w:t>
      </w:r>
    </w:p>
    <w:p>
      <w:pPr>
        <w:spacing w:after="80" w:before="0"/>
        <w:ind w:firstLine="567"/>
      </w:pPr>
      <w:r>
        <w:rPr>
          <w:rFonts w:ascii="Times New Roman" w:hAnsi="Times New Roman" w:eastAsia="Times New Roman"/>
          <w:b w:val="0"/>
          <w:i w:val="0"/>
          <w:sz w:val="26"/>
        </w:rPr>
        <w:t>Giải pháp có khả năng áp dụng tốt trong phạm vi Trung tâm Viễn thông Sơn Tây vì đã bám theo cấu trúc dữ liệu, mô hình tổ chức tổ địa bàn và nhu cầu điều hành thực tế của đơn vị. Đồng thời, do phần mềm cho phép cấu hình linh hoạt các thư mục dữ liệu đầu vào, và do một phần nguồn dữ liệu có thể được tạo tự động từ hệ thống baocao.hanoi.vnpt.vn, giải pháp cũng có thể mở rộng cho các trung tâm viễn thông khác thuộc VNPT Hà Nội nếu có cấu trúc dữ liệu tương tự.</w:t>
      </w:r>
    </w:p>
    <w:p>
      <w:pPr>
        <w:spacing w:after="80" w:before="0"/>
        <w:ind w:firstLine="567"/>
      </w:pPr>
      <w:r>
        <w:rPr>
          <w:rFonts w:ascii="Times New Roman" w:hAnsi="Times New Roman" w:eastAsia="Times New Roman"/>
          <w:b w:val="0"/>
          <w:i w:val="0"/>
          <w:sz w:val="26"/>
        </w:rPr>
        <w:t>Kiến trúc theo blueprint và cấu hình tập trung giúp đơn vị dễ dàng bổ sung thêm chỉ tiêu mới, thêm trang báo cáo mới hoặc điều chỉnh đường dẫn nguồn dữ liệu mà không cần thay đổi toàn bộ hệ thống.</w:t>
      </w:r>
    </w:p>
    <w:p>
      <w:pPr>
        <w:spacing w:after="80" w:before="80"/>
      </w:pPr>
      <w:r>
        <w:rPr>
          <w:rFonts w:ascii="Times New Roman" w:hAnsi="Times New Roman" w:eastAsia="Times New Roman"/>
          <w:b/>
          <w:i w:val="0"/>
          <w:sz w:val="26"/>
        </w:rPr>
        <w:t>8. Hướng mở rộng</w:t>
      </w:r>
    </w:p>
    <w:p>
      <w:pPr>
        <w:spacing w:after="80" w:before="0"/>
        <w:ind w:firstLine="567"/>
      </w:pPr>
      <w:r>
        <w:rPr>
          <w:rFonts w:ascii="Times New Roman" w:hAnsi="Times New Roman" w:eastAsia="Times New Roman"/>
          <w:b w:val="0"/>
          <w:i w:val="0"/>
          <w:sz w:val="26"/>
        </w:rPr>
        <w:t>Trong giai đoạn tiếp theo, sáng kiến có thể tiếp tục mở rộng theo các hướng như bổ sung cơ chế lập lịch làm mới dữ liệu tự động cho nhiều nguồn hơn, đồng bộ chặt chẽ hơn giữa lớp tải báo cáo nguồn và lớp dashboard, tăng cường biểu đồ so sánh xu hướng, bổ sung cảnh báo chủ động khi chỉ tiêu xuống ngưỡng, hỗ trợ xuất báo cáo tổng hợp định kỳ và phát triển thống kê phục vụ đánh giá năng suất theo tổ hoặc theo cá nhân.</w:t>
      </w:r>
    </w:p>
    <w:p>
      <w:pPr>
        <w:spacing w:after="80" w:before="0"/>
        <w:ind w:firstLine="567"/>
      </w:pPr>
      <w:r>
        <w:rPr>
          <w:rFonts w:ascii="Times New Roman" w:hAnsi="Times New Roman" w:eastAsia="Times New Roman"/>
          <w:b w:val="0"/>
          <w:i w:val="0"/>
          <w:sz w:val="26"/>
        </w:rPr>
        <w:t>Giải pháp cũng có thể được tích hợp sâu hơn với các hệ thống nội bộ khác để giảm thêm thao tác nhập liệu trung gian và tiến tới hình thành một bảng điều hành số tập trung cho công tác quản trị sản xuất kinh doanh tại đơn vị.</w:t>
      </w:r>
    </w:p>
    <w:p>
      <w:pPr>
        <w:spacing w:after="200" w:before="120"/>
      </w:pPr>
      <w:r>
        <w:rPr>
          <w:rFonts w:ascii="Times New Roman" w:hAnsi="Times New Roman" w:eastAsia="Times New Roman"/>
          <w:b w:val="0"/>
          <w:i w:val="0"/>
          <w:sz w:val="26"/>
        </w:rPr>
        <w:t>Chúng tôi cam đoan những nội dung nêu trên là đúng sự thật; các mô tả kỹ thuật trong hồ sơ được xây dựng dựa trên chức năng hiện có của phần mềm đang sử dụng tại đơn vị, các thông tin chưa đủ căn cứ xác định được giữ ở dạng chỗ trống để hoàn thiện sau.</w:t>
      </w:r>
    </w:p>
    <w:tbl>
      <w:tblPr>
        <w:tblW w:type="auto" w:w="0"/>
        <w:jc w:val="center"/>
        <w:tblLook w:firstColumn="1" w:firstRow="1" w:lastColumn="0" w:lastRow="0" w:noHBand="0" w:noVBand="1" w:val="04A0"/>
      </w:tblPr>
      <w:tblGrid>
        <w:gridCol w:w="4702"/>
        <w:gridCol w:w="4702"/>
      </w:tblGrid>
      <w:tr>
        <w:tc>
          <w:tcPr>
            <w:tcW w:type="dxa" w:w="4702"/>
            <w:tcBorders>
              <w:top w:val="nil"/>
              <w:left w:val="nil"/>
              <w:bottom w:val="nil"/>
              <w:right w:val="nil"/>
            </w:tcBorders>
            <w:vAlign w:val="center"/>
          </w:tcPr>
          <w:p>
            <w:pPr>
              <w:jc w:val="center"/>
            </w:pPr>
            <w:r/>
            <w:r>
              <w:rPr>
                <w:rFonts w:ascii="Times New Roman" w:hAnsi="Times New Roman" w:eastAsia="Times New Roman"/>
                <w:b/>
                <w:i w:val="0"/>
                <w:sz w:val="24"/>
              </w:rPr>
              <w:t>Xác nhận của đơn vị</w:t>
            </w:r>
          </w:p>
        </w:tc>
        <w:tc>
          <w:tcPr>
            <w:tcW w:type="dxa" w:w="4702"/>
            <w:tcBorders>
              <w:top w:val="nil"/>
              <w:left w:val="nil"/>
              <w:bottom w:val="nil"/>
              <w:right w:val="nil"/>
            </w:tcBorders>
            <w:vAlign w:val="center"/>
          </w:tcPr>
          <w:p>
            <w:pPr>
              <w:jc w:val="center"/>
            </w:pPr>
            <w:r/>
            <w:r>
              <w:rPr>
                <w:rFonts w:ascii="Times New Roman" w:hAnsi="Times New Roman" w:eastAsia="Times New Roman"/>
                <w:b w:val="0"/>
                <w:i/>
                <w:sz w:val="24"/>
              </w:rPr>
              <w:t>Sơn Tây, ngày ..... tháng ..... năm [Điền năm nộp hồ sơ]</w:t>
            </w:r>
          </w:p>
        </w:tc>
      </w:tr>
      <w:tr>
        <w:tc>
          <w:tcPr>
            <w:tcW w:type="dxa" w:w="4702"/>
            <w:tcBorders>
              <w:top w:val="nil"/>
              <w:left w:val="nil"/>
              <w:bottom w:val="nil"/>
              <w:right w:val="nil"/>
            </w:tcBorders>
            <w:vAlign w:val="center"/>
          </w:tcPr>
          <w:p>
            <w:pPr>
              <w:jc w:val="center"/>
            </w:pPr>
            <w:r/>
            <w:r>
              <w:rPr>
                <w:rFonts w:ascii="Times New Roman" w:hAnsi="Times New Roman" w:eastAsia="Times New Roman"/>
                <w:b w:val="0"/>
                <w:i w:val="0"/>
                <w:sz w:val="24"/>
              </w:rPr>
              <w:t>[Ký, ghi rõ họ tên, đóng dấu]</w:t>
            </w:r>
          </w:p>
        </w:tc>
        <w:tc>
          <w:tcPr>
            <w:tcW w:type="dxa" w:w="4702"/>
            <w:tcBorders>
              <w:top w:val="nil"/>
              <w:left w:val="nil"/>
              <w:bottom w:val="nil"/>
              <w:right w:val="nil"/>
            </w:tcBorders>
            <w:vAlign w:val="center"/>
          </w:tcPr>
          <w:p>
            <w:pPr>
              <w:jc w:val="center"/>
            </w:pPr>
            <w:r/>
            <w:r>
              <w:rPr>
                <w:rFonts w:ascii="Times New Roman" w:hAnsi="Times New Roman" w:eastAsia="Times New Roman"/>
                <w:b/>
                <w:i w:val="0"/>
                <w:sz w:val="24"/>
              </w:rPr>
              <w:t>Tác giả sáng kiến</w:t>
            </w:r>
            <w:r>
              <w:br/>
            </w:r>
            <w:r>
              <w:rPr>
                <w:rFonts w:ascii="Times New Roman" w:hAnsi="Times New Roman" w:eastAsia="Times New Roman"/>
                <w:b/>
                <w:i w:val="0"/>
                <w:sz w:val="24"/>
              </w:rPr>
              <w:t>[Ký và ghi rõ họ tên]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