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2B4C7E"/>
          <w:sz w:val="48"/>
          <w:szCs w:val="48"/>
        </w:rPr>
        <w:t xml:space="preserve">CAHIER DES CHARGES</w:t>
      </w:r>
    </w:p>
    <w:p>
      <w:pPr>
        <w:pBdr>
          <w:bottom w:val="single" w:color="E85D26" w:sz="6" w:space="8"/>
        </w:pBdr>
        <w:spacing w:after="80"/>
        <w:jc w:val="center"/>
      </w:pPr>
    </w:p>
    <w:p>
      <w:pPr>
        <w:spacing w:after="200"/>
      </w:pPr>
    </w:p>
    <w:p>
      <w:pPr>
        <w:spacing w:after="120"/>
        <w:jc w:val="center"/>
      </w:pPr>
      <w:r>
        <w:rPr>
          <w:rFonts w:ascii="Arial" w:cs="Arial" w:eastAsia="Arial" w:hAnsi="Arial"/>
          <w:color w:val="3A7CA5"/>
          <w:sz w:val="36"/>
          <w:szCs w:val="36"/>
        </w:rPr>
        <w:t xml:space="preserve">Application Mobile Companion</w:t>
      </w:r>
    </w:p>
    <w:p>
      <w:pPr>
        <w:spacing w:after="120"/>
        <w:jc w:val="center"/>
      </w:pPr>
      <w:r>
        <w:rPr>
          <w:rFonts w:ascii="Arial" w:cs="Arial" w:eastAsia="Arial" w:hAnsi="Arial"/>
          <w:color w:val="3A7CA5"/>
          <w:sz w:val="36"/>
          <w:szCs w:val="36"/>
        </w:rPr>
        <w:t xml:space="preserve">pour Jeux de Société</w:t>
      </w:r>
    </w:p>
    <w:p>
      <w:pPr>
        <w:spacing w:after="200"/>
      </w:pPr>
    </w:p>
    <w:p>
      <w:pPr>
        <w:spacing w:after="120"/>
        <w:jc w:val="center"/>
      </w:pPr>
      <w:r>
        <w:rPr>
          <w:rFonts w:ascii="Arial" w:cs="Arial" w:eastAsia="Arial" w:hAnsi="Arial"/>
          <w:i/>
          <w:iCs/>
          <w:color w:val="E85D26"/>
          <w:sz w:val="26"/>
          <w:szCs w:val="26"/>
        </w:rPr>
        <w:t xml:space="preserve">Cas d’application : Skull King</w:t>
      </w:r>
    </w:p>
    <w:p>
      <w:pPr>
        <w:spacing w:after="6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r>
              <w:rPr>
                <w:rFonts w:ascii="Arial" w:cs="Arial" w:eastAsia="Arial" w:hAnsi="Arial"/>
                <w:b/>
                <w:bCs/>
                <w:color w:val="2B4C7E"/>
                <w:sz w:val="20"/>
                <w:szCs w:val="20"/>
              </w:rPr>
              <w:t xml:space="preserve">Version</w:t>
            </w:r>
          </w:p>
        </w:tc>
        <w:tc>
          <w:tcPr>
            <w:tcW w:type="dxa" w:w="3000"/>
            <w:tcBorders>
              <w:top w:val="none" w:sz="0"/>
              <w:left w:val="none" w:sz="0"/>
              <w:bottom w:val="none" w:sz="0"/>
              <w:right w:val="none" w:sz="0"/>
            </w:tcBorders>
          </w:tcPr>
          <w:p>
            <w:pPr>
              <w:spacing w:after="120"/>
              <w:jc w:val="left"/>
            </w:pPr>
            <w:r>
              <w:rPr>
                <w:rFonts w:ascii="Arial" w:cs="Arial" w:eastAsia="Arial" w:hAnsi="Arial"/>
                <w:sz w:val="20"/>
                <w:szCs w:val="20"/>
              </w:rPr>
              <w:t xml:space="preserve">1.0</w:t>
            </w:r>
          </w:p>
        </w:tc>
      </w:tr>
      <w:tr>
        <w:tc>
          <w:tcPr>
            <w:tcW w:type="dxa" w:w="2000"/>
            <w:tcBorders>
              <w:top w:val="none" w:sz="0"/>
              <w:left w:val="none" w:sz="0"/>
              <w:bottom w:val="none" w:sz="0"/>
              <w:right w:val="none" w:sz="0"/>
            </w:tcBorders>
          </w:tcPr>
          <w:p>
            <w:r>
              <w:rPr>
                <w:rFonts w:ascii="Arial" w:cs="Arial" w:eastAsia="Arial" w:hAnsi="Arial"/>
                <w:b/>
                <w:bCs/>
                <w:color w:val="2B4C7E"/>
                <w:sz w:val="20"/>
                <w:szCs w:val="20"/>
              </w:rPr>
              <w:t xml:space="preserve">Date</w:t>
            </w:r>
          </w:p>
        </w:tc>
        <w:tc>
          <w:tcPr>
            <w:tcW w:type="dxa" w:w="3000"/>
            <w:tcBorders>
              <w:top w:val="none" w:sz="0"/>
              <w:left w:val="none" w:sz="0"/>
              <w:bottom w:val="none" w:sz="0"/>
              <w:right w:val="none" w:sz="0"/>
            </w:tcBorders>
          </w:tcPr>
          <w:p>
            <w:pPr>
              <w:spacing w:after="120"/>
              <w:jc w:val="left"/>
            </w:pPr>
            <w:r>
              <w:rPr>
                <w:rFonts w:ascii="Arial" w:cs="Arial" w:eastAsia="Arial" w:hAnsi="Arial"/>
                <w:sz w:val="20"/>
                <w:szCs w:val="20"/>
              </w:rPr>
              <w:t xml:space="preserve">13 février 2026</w:t>
            </w:r>
          </w:p>
        </w:tc>
      </w:tr>
      <w:tr>
        <w:tc>
          <w:tcPr>
            <w:tcW w:type="dxa" w:w="2000"/>
            <w:tcBorders>
              <w:top w:val="none" w:sz="0"/>
              <w:left w:val="none" w:sz="0"/>
              <w:bottom w:val="none" w:sz="0"/>
              <w:right w:val="none" w:sz="0"/>
            </w:tcBorders>
          </w:tcPr>
          <w:p>
            <w:r>
              <w:rPr>
                <w:rFonts w:ascii="Arial" w:cs="Arial" w:eastAsia="Arial" w:hAnsi="Arial"/>
                <w:b/>
                <w:bCs/>
                <w:color w:val="2B4C7E"/>
                <w:sz w:val="20"/>
                <w:szCs w:val="20"/>
              </w:rPr>
              <w:t xml:space="preserve">Statut</w:t>
            </w:r>
          </w:p>
        </w:tc>
        <w:tc>
          <w:tcPr>
            <w:tcW w:type="dxa" w:w="3000"/>
            <w:tcBorders>
              <w:top w:val="none" w:sz="0"/>
              <w:left w:val="none" w:sz="0"/>
              <w:bottom w:val="none" w:sz="0"/>
              <w:right w:val="none" w:sz="0"/>
            </w:tcBorders>
          </w:tcPr>
          <w:p>
            <w:pPr>
              <w:spacing w:after="120"/>
              <w:jc w:val="left"/>
            </w:pPr>
            <w:r>
              <w:rPr>
                <w:rFonts w:ascii="Arial" w:cs="Arial" w:eastAsia="Arial" w:hAnsi="Arial"/>
                <w:sz w:val="20"/>
                <w:szCs w:val="20"/>
              </w:rPr>
              <w:t xml:space="preserve">Brouillon initial</w:t>
            </w:r>
          </w:p>
        </w:tc>
      </w:tr>
    </w:tbl>
    <w:p>
      <w:pPr>
        <w:spacing w:after="400"/>
      </w:pPr>
    </w:p>
    <w:p>
      <w:pPr>
        <w:jc w:val="center"/>
      </w:pPr>
      <w:r>
        <w:rPr>
          <w:rFonts w:ascii="Arial" w:cs="Arial" w:eastAsia="Arial" w:hAnsi="Arial"/>
          <w:i/>
          <w:iCs/>
          <w:color w:val="888888"/>
          <w:sz w:val="18"/>
          <w:szCs w:val="18"/>
        </w:rPr>
        <w:t xml:space="preserve">Document confidentiel</w:t>
      </w:r>
    </w:p>
    <w:p>
      <w:pPr>
        <w:sectPr>
          <w:pgSz w:w="11906" w:h="16838" w:orient="portrait"/>
          <w:pgMar w:top="1440" w:right="1440" w:bottom="1440" w:left="1440" w:header="708" w:footer="708" w:gutter="0"/>
          <w:pgNumType/>
          <w:docGrid w:linePitch="360"/>
        </w:sectPr>
      </w:pPr>
    </w:p>
    <w:p>
      <w:pPr>
        <w:spacing w:after="300"/>
      </w:pPr>
      <w:r>
        <w:rPr>
          <w:rFonts w:ascii="Arial" w:cs="Arial" w:eastAsia="Arial" w:hAnsi="Arial"/>
          <w:b/>
          <w:bCs/>
          <w:color w:val="2B4C7E"/>
          <w:sz w:val="28"/>
          <w:szCs w:val="28"/>
        </w:rP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2B4C7E"/>
          <w:sz w:val="32"/>
          <w:szCs w:val="32"/>
        </w:rPr>
        <w:t xml:space="preserve">1. Contexte et objectifs du projet</w:t>
      </w:r>
    </w:p>
    <w:p>
      <w:pPr>
        <w:pStyle w:val="Heading2"/>
        <w:spacing w:before="280" w:after="160"/>
      </w:pPr>
      <w:r>
        <w:rPr>
          <w:rFonts w:ascii="Arial" w:cs="Arial" w:eastAsia="Arial" w:hAnsi="Arial"/>
          <w:b/>
          <w:bCs/>
          <w:color w:val="3A7CA5"/>
          <w:sz w:val="26"/>
          <w:szCs w:val="26"/>
        </w:rPr>
        <w:t xml:space="preserve">1.1 Contexte</w:t>
      </w:r>
    </w:p>
    <w:p>
      <w:pPr>
        <w:spacing w:after="120"/>
        <w:jc w:val="both"/>
      </w:pPr>
      <w:r>
        <w:rPr>
          <w:rFonts w:ascii="Arial" w:cs="Arial" w:eastAsia="Arial" w:hAnsi="Arial"/>
          <w:sz w:val="20"/>
          <w:szCs w:val="20"/>
        </w:rPr>
        <w:t xml:space="preserve">Les jeux de société modernes (jeux de cartes, jeux de plateau, jeux de rôle légers) nécessitent souvent un suivi fastidieux des scores, des manches, des règles spécifiques ou de paramètres de jeu complexes. Les joueurs perdent du temps à calculer manuellement les points, à chercher des règles dans le livret ou à gérer des éléments annexes qui cassent le rythme de la partie.</w:t>
      </w:r>
    </w:p>
    <w:p>
      <w:pPr>
        <w:spacing w:after="120"/>
        <w:jc w:val="both"/>
      </w:pPr>
      <w:r>
        <w:rPr>
          <w:rFonts w:ascii="Arial" w:cs="Arial" w:eastAsia="Arial" w:hAnsi="Arial"/>
          <w:sz w:val="20"/>
          <w:szCs w:val="20"/>
        </w:rPr>
        <w:t xml:space="preserve">Une application mobile « companion » vise à enrichir l’expérience de jeu en numérisant ces aspects logistiques, sans jamais remplacer le jeu physique lui-même. Le cas d’application retenu pour cette première version est le jeu de cartes Skull King, un jeu de plis avec enchères où le calcul des scores est particulièrement complexe.</w:t>
      </w:r>
    </w:p>
    <w:p>
      <w:pPr>
        <w:pStyle w:val="Heading2"/>
        <w:spacing w:before="280" w:after="160"/>
      </w:pPr>
      <w:r>
        <w:rPr>
          <w:rFonts w:ascii="Arial" w:cs="Arial" w:eastAsia="Arial" w:hAnsi="Arial"/>
          <w:b/>
          <w:bCs/>
          <w:color w:val="3A7CA5"/>
          <w:sz w:val="26"/>
          <w:szCs w:val="26"/>
        </w:rPr>
        <w:t xml:space="preserve">1.2 Objectifs</w:t>
      </w:r>
    </w:p>
    <w:p>
      <w:pPr>
        <w:pStyle w:val="ListParagraph"/>
        <w:numPr>
          <w:ilvl w:val="0"/>
          <w:numId w:val="2"/>
        </w:numPr>
        <w:spacing w:after="60"/>
      </w:pPr>
      <w:r>
        <w:rPr>
          <w:rFonts w:ascii="Arial" w:cs="Arial" w:eastAsia="Arial" w:hAnsi="Arial"/>
          <w:sz w:val="20"/>
          <w:szCs w:val="20"/>
        </w:rPr>
        <w:t xml:space="preserve">Simplifier et automatiser le calcul des scores pour Skull King (et à terme d’autres jeux).</w:t>
      </w:r>
    </w:p>
    <w:p>
      <w:pPr>
        <w:pStyle w:val="ListParagraph"/>
        <w:numPr>
          <w:ilvl w:val="0"/>
          <w:numId w:val="2"/>
        </w:numPr>
        <w:spacing w:after="60"/>
      </w:pPr>
      <w:r>
        <w:rPr>
          <w:rFonts w:ascii="Arial" w:cs="Arial" w:eastAsia="Arial" w:hAnsi="Arial"/>
          <w:sz w:val="20"/>
          <w:szCs w:val="20"/>
        </w:rPr>
        <w:t xml:space="preserve">Fournir un accès rapide et contextuel aux règles du jeu.</w:t>
      </w:r>
    </w:p>
    <w:p>
      <w:pPr>
        <w:pStyle w:val="ListParagraph"/>
        <w:numPr>
          <w:ilvl w:val="0"/>
          <w:numId w:val="2"/>
        </w:numPr>
        <w:spacing w:after="60"/>
      </w:pPr>
      <w:r>
        <w:rPr>
          <w:rFonts w:ascii="Arial" w:cs="Arial" w:eastAsia="Arial" w:hAnsi="Arial"/>
          <w:sz w:val="20"/>
          <w:szCs w:val="20"/>
        </w:rPr>
        <w:t xml:space="preserve">Améliorer l’expérience sociale autour du jeu (historique, statistiques, classements).</w:t>
      </w:r>
    </w:p>
    <w:p>
      <w:pPr>
        <w:pStyle w:val="ListParagraph"/>
        <w:numPr>
          <w:ilvl w:val="0"/>
          <w:numId w:val="2"/>
        </w:numPr>
        <w:spacing w:after="60"/>
      </w:pPr>
      <w:r>
        <w:rPr>
          <w:rFonts w:ascii="Arial" w:cs="Arial" w:eastAsia="Arial" w:hAnsi="Arial"/>
          <w:sz w:val="20"/>
          <w:szCs w:val="20"/>
        </w:rPr>
        <w:t xml:space="preserve">Proposer une architecture modulaire permettant l’ajout de nouveaux jeux sans refonte majeure.</w:t>
      </w:r>
    </w:p>
    <w:p>
      <w:pPr>
        <w:pStyle w:val="ListParagraph"/>
        <w:numPr>
          <w:ilvl w:val="0"/>
          <w:numId w:val="2"/>
        </w:numPr>
        <w:spacing w:after="60"/>
      </w:pPr>
      <w:r>
        <w:rPr>
          <w:rFonts w:ascii="Arial" w:cs="Arial" w:eastAsia="Arial" w:hAnsi="Arial"/>
          <w:sz w:val="20"/>
          <w:szCs w:val="20"/>
        </w:rPr>
        <w:t xml:space="preserve">Offrir une expérience utilisateur fluide, intuitive et agréable, même pour des utilisateurs peu technophiles.</w:t>
      </w:r>
    </w:p>
    <w:p>
      <w:pPr>
        <w:spacing w:after="120"/>
      </w:pPr>
    </w:p>
    <w:p>
      <w:pPr>
        <w:pStyle w:val="Heading2"/>
        <w:spacing w:before="280" w:after="160"/>
      </w:pPr>
      <w:r>
        <w:rPr>
          <w:rFonts w:ascii="Arial" w:cs="Arial" w:eastAsia="Arial" w:hAnsi="Arial"/>
          <w:b/>
          <w:bCs/>
          <w:color w:val="3A7CA5"/>
          <w:sz w:val="26"/>
          <w:szCs w:val="26"/>
        </w:rPr>
        <w:t xml:space="preserve">1.3 Public cible</w:t>
      </w:r>
    </w:p>
    <w:p>
      <w:pPr>
        <w:pStyle w:val="ListParagraph"/>
        <w:numPr>
          <w:ilvl w:val="0"/>
          <w:numId w:val="2"/>
        </w:numPr>
        <w:spacing w:after="60"/>
      </w:pPr>
      <w:r>
        <w:rPr>
          <w:rFonts w:ascii="Arial" w:cs="Arial" w:eastAsia="Arial" w:hAnsi="Arial"/>
          <w:sz w:val="20"/>
          <w:szCs w:val="20"/>
        </w:rPr>
        <w:t xml:space="preserve">Joueurs de jeux de société occasionnels à réguliers (âge 12+).</w:t>
      </w:r>
    </w:p>
    <w:p>
      <w:pPr>
        <w:pStyle w:val="ListParagraph"/>
        <w:numPr>
          <w:ilvl w:val="0"/>
          <w:numId w:val="2"/>
        </w:numPr>
        <w:spacing w:after="60"/>
      </w:pPr>
      <w:r>
        <w:rPr>
          <w:rFonts w:ascii="Arial" w:cs="Arial" w:eastAsia="Arial" w:hAnsi="Arial"/>
          <w:sz w:val="20"/>
          <w:szCs w:val="20"/>
        </w:rPr>
        <w:t xml:space="preserve">Groupes d’amis, familles, clubs de jeux.</w:t>
      </w:r>
    </w:p>
    <w:p>
      <w:pPr>
        <w:pStyle w:val="ListParagraph"/>
        <w:numPr>
          <w:ilvl w:val="0"/>
          <w:numId w:val="2"/>
        </w:numPr>
        <w:spacing w:after="60"/>
      </w:pPr>
      <w:r>
        <w:rPr>
          <w:rFonts w:ascii="Arial" w:cs="Arial" w:eastAsia="Arial" w:hAnsi="Arial"/>
          <w:sz w:val="20"/>
          <w:szCs w:val="20"/>
        </w:rPr>
        <w:t xml:space="preserve">Utilisateurs de smartphones iOS et Android.</w:t>
      </w:r>
    </w:p>
    <w:p>
      <w:pPr>
        <w:spacing w:after="120"/>
      </w:pPr>
    </w:p>
    <w:p>
      <w:pPr>
        <w:pBdr>
          <w:bottom w:val="single" w:color="3A7CA5" w:sz="4" w:space="1"/>
        </w:pBdr>
        <w:spacing w:before="200" w:after="200"/>
      </w:pPr>
    </w:p>
    <w:p>
      <w:r>
        <w:br w:type="page"/>
      </w:r>
    </w:p>
    <w:p>
      <w:pPr>
        <w:pStyle w:val="Heading1"/>
        <w:spacing w:before="360" w:after="200"/>
      </w:pPr>
      <w:r>
        <w:rPr>
          <w:rFonts w:ascii="Arial" w:cs="Arial" w:eastAsia="Arial" w:hAnsi="Arial"/>
          <w:b/>
          <w:bCs/>
          <w:color w:val="2B4C7E"/>
          <w:sz w:val="32"/>
          <w:szCs w:val="32"/>
        </w:rPr>
        <w:t xml:space="preserve">2. Périmètre fonctionnel</w:t>
      </w:r>
    </w:p>
    <w:p>
      <w:pPr>
        <w:pStyle w:val="Heading2"/>
        <w:spacing w:before="280" w:after="160"/>
      </w:pPr>
      <w:r>
        <w:rPr>
          <w:rFonts w:ascii="Arial" w:cs="Arial" w:eastAsia="Arial" w:hAnsi="Arial"/>
          <w:b/>
          <w:bCs/>
          <w:color w:val="3A7CA5"/>
          <w:sz w:val="26"/>
          <w:szCs w:val="26"/>
        </w:rPr>
        <w:t xml:space="preserve">2.1 Module de gestion de partie</w:t>
      </w:r>
    </w:p>
    <w:p>
      <w:pPr>
        <w:spacing w:before="200" w:after="120"/>
      </w:pPr>
      <w:r>
        <w:rPr>
          <w:rFonts w:ascii="Arial" w:cs="Arial" w:eastAsia="Arial" w:hAnsi="Arial"/>
          <w:b/>
          <w:bCs/>
          <w:color w:val="2B4C7E"/>
          <w:sz w:val="22"/>
          <w:szCs w:val="22"/>
        </w:rPr>
        <w:t xml:space="preserve">2.1.1 Création de partie</w:t>
      </w:r>
    </w:p>
    <w:p>
      <w:pPr>
        <w:pStyle w:val="ListParagraph"/>
        <w:numPr>
          <w:ilvl w:val="0"/>
          <w:numId w:val="2"/>
        </w:numPr>
        <w:spacing w:after="60"/>
      </w:pPr>
      <w:r>
        <w:rPr>
          <w:rFonts w:ascii="Arial" w:cs="Arial" w:eastAsia="Arial" w:hAnsi="Arial"/>
          <w:sz w:val="20"/>
          <w:szCs w:val="20"/>
        </w:rPr>
        <w:t xml:space="preserve">Saisie du nombre de joueurs (2 à 8 pour Skull King) et de leurs noms ou pseudonymes.</w:t>
      </w:r>
    </w:p>
    <w:p>
      <w:pPr>
        <w:pStyle w:val="ListParagraph"/>
        <w:numPr>
          <w:ilvl w:val="0"/>
          <w:numId w:val="2"/>
        </w:numPr>
        <w:spacing w:after="60"/>
      </w:pPr>
      <w:r>
        <w:rPr>
          <w:rFonts w:ascii="Arial" w:cs="Arial" w:eastAsia="Arial" w:hAnsi="Arial"/>
          <w:sz w:val="20"/>
          <w:szCs w:val="20"/>
        </w:rPr>
        <w:t xml:space="preserve">Sélection du jeu (Skull King par défaut, extensible à d’autres jeux).</w:t>
      </w:r>
    </w:p>
    <w:p>
      <w:pPr>
        <w:pStyle w:val="ListParagraph"/>
        <w:numPr>
          <w:ilvl w:val="0"/>
          <w:numId w:val="2"/>
        </w:numPr>
        <w:spacing w:after="60"/>
      </w:pPr>
      <w:r>
        <w:rPr>
          <w:rFonts w:ascii="Arial" w:cs="Arial" w:eastAsia="Arial" w:hAnsi="Arial"/>
          <w:sz w:val="20"/>
          <w:szCs w:val="20"/>
        </w:rPr>
        <w:t xml:space="preserve">Choix des variantes de règles optionnelles (ex. : Legendary Expansion, Loot Cards, règles maison).</w:t>
      </w:r>
    </w:p>
    <w:p>
      <w:pPr>
        <w:pStyle w:val="ListParagraph"/>
        <w:numPr>
          <w:ilvl w:val="0"/>
          <w:numId w:val="2"/>
        </w:numPr>
        <w:spacing w:after="60"/>
      </w:pPr>
      <w:r>
        <w:rPr>
          <w:rFonts w:ascii="Arial" w:cs="Arial" w:eastAsia="Arial" w:hAnsi="Arial"/>
          <w:sz w:val="20"/>
          <w:szCs w:val="20"/>
        </w:rPr>
        <w:t xml:space="preserve">Possibilité de créer des profils joueurs persistants avec avatars.</w:t>
      </w:r>
    </w:p>
    <w:p>
      <w:pPr>
        <w:spacing w:after="120"/>
      </w:pPr>
    </w:p>
    <w:p>
      <w:pPr>
        <w:spacing w:before="200" w:after="120"/>
      </w:pPr>
      <w:r>
        <w:rPr>
          <w:rFonts w:ascii="Arial" w:cs="Arial" w:eastAsia="Arial" w:hAnsi="Arial"/>
          <w:b/>
          <w:bCs/>
          <w:color w:val="2B4C7E"/>
          <w:sz w:val="22"/>
          <w:szCs w:val="22"/>
        </w:rPr>
        <w:t xml:space="preserve">2.1.2 Déroulement des manches</w:t>
      </w:r>
    </w:p>
    <w:p>
      <w:pPr>
        <w:spacing w:after="120"/>
        <w:jc w:val="both"/>
      </w:pPr>
      <w:r>
        <w:rPr>
          <w:rFonts w:ascii="Arial" w:cs="Arial" w:eastAsia="Arial" w:hAnsi="Arial"/>
          <w:sz w:val="20"/>
          <w:szCs w:val="20"/>
        </w:rPr>
        <w:t xml:space="preserve">Pour chaque manche de Skull King, l’application doit permettre :</w:t>
      </w:r>
    </w:p>
    <w:p>
      <w:pPr>
        <w:pStyle w:val="ListParagraph"/>
        <w:numPr>
          <w:ilvl w:val="0"/>
          <w:numId w:val="3"/>
        </w:numPr>
        <w:spacing w:after="60"/>
      </w:pPr>
      <w:r>
        <w:rPr>
          <w:rFonts w:ascii="Arial" w:cs="Arial" w:eastAsia="Arial" w:hAnsi="Arial"/>
          <w:sz w:val="20"/>
          <w:szCs w:val="20"/>
        </w:rPr>
        <w:t xml:space="preserve">Phase d’enchères : saisie simultanée (mode « blind ») ou séquentielle des prédictions de plis pour chaque joueur.</w:t>
      </w:r>
    </w:p>
    <w:p>
      <w:pPr>
        <w:pStyle w:val="ListParagraph"/>
        <w:numPr>
          <w:ilvl w:val="0"/>
          <w:numId w:val="3"/>
        </w:numPr>
        <w:spacing w:after="60"/>
      </w:pPr>
      <w:r>
        <w:rPr>
          <w:rFonts w:ascii="Arial" w:cs="Arial" w:eastAsia="Arial" w:hAnsi="Arial"/>
          <w:sz w:val="20"/>
          <w:szCs w:val="20"/>
        </w:rPr>
        <w:t xml:space="preserve">Phase de jeu : la manche se joue physiquement ; l’app attend le résultat.</w:t>
      </w:r>
    </w:p>
    <w:p>
      <w:pPr>
        <w:pStyle w:val="ListParagraph"/>
        <w:numPr>
          <w:ilvl w:val="0"/>
          <w:numId w:val="3"/>
        </w:numPr>
        <w:spacing w:after="60"/>
      </w:pPr>
      <w:r>
        <w:rPr>
          <w:rFonts w:ascii="Arial" w:cs="Arial" w:eastAsia="Arial" w:hAnsi="Arial"/>
          <w:sz w:val="20"/>
          <w:szCs w:val="20"/>
        </w:rPr>
        <w:t xml:space="preserve">Phase de résultat : saisie du nombre de plis réellement remportés par chaque joueur, plus les bonus éventuels (capture de pirates, sirènes, Skull King, cartes spéciales).</w:t>
      </w:r>
    </w:p>
    <w:p>
      <w:pPr>
        <w:pStyle w:val="ListParagraph"/>
        <w:numPr>
          <w:ilvl w:val="0"/>
          <w:numId w:val="3"/>
        </w:numPr>
        <w:spacing w:after="60"/>
      </w:pPr>
      <w:r>
        <w:rPr>
          <w:rFonts w:ascii="Arial" w:cs="Arial" w:eastAsia="Arial" w:hAnsi="Arial"/>
          <w:sz w:val="20"/>
          <w:szCs w:val="20"/>
        </w:rPr>
        <w:t xml:space="preserve">Calcul automatique des scores selon les règles officielles, avec affichage détaillé du décompte.</w:t>
      </w:r>
    </w:p>
    <w:p>
      <w:pPr>
        <w:spacing w:after="120"/>
      </w:pPr>
    </w:p>
    <w:p>
      <w:pPr>
        <w:spacing w:before="200" w:after="120"/>
      </w:pPr>
      <w:r>
        <w:rPr>
          <w:rFonts w:ascii="Arial" w:cs="Arial" w:eastAsia="Arial" w:hAnsi="Arial"/>
          <w:b/>
          <w:bCs/>
          <w:color w:val="2B4C7E"/>
          <w:sz w:val="22"/>
          <w:szCs w:val="22"/>
        </w:rPr>
        <w:t xml:space="preserve">2.1.3 Tableau des scores en temps réel</w:t>
      </w:r>
    </w:p>
    <w:p>
      <w:pPr>
        <w:pStyle w:val="ListParagraph"/>
        <w:numPr>
          <w:ilvl w:val="0"/>
          <w:numId w:val="2"/>
        </w:numPr>
        <w:spacing w:after="60"/>
      </w:pPr>
      <w:r>
        <w:rPr>
          <w:rFonts w:ascii="Arial" w:cs="Arial" w:eastAsia="Arial" w:hAnsi="Arial"/>
          <w:sz w:val="20"/>
          <w:szCs w:val="20"/>
        </w:rPr>
        <w:t xml:space="preserve">Affichage synthétique du classement courant avec évolution graphique (courbe de score par manche).</w:t>
      </w:r>
    </w:p>
    <w:p>
      <w:pPr>
        <w:pStyle w:val="ListParagraph"/>
        <w:numPr>
          <w:ilvl w:val="0"/>
          <w:numId w:val="2"/>
        </w:numPr>
        <w:spacing w:after="60"/>
      </w:pPr>
      <w:r>
        <w:rPr>
          <w:rFonts w:ascii="Arial" w:cs="Arial" w:eastAsia="Arial" w:hAnsi="Arial"/>
          <w:sz w:val="20"/>
          <w:szCs w:val="20"/>
        </w:rPr>
        <w:t xml:space="preserve">Détail manche par manche : enchère, plis réalisés, bonus, score de la manche, score cumulé.</w:t>
      </w:r>
    </w:p>
    <w:p>
      <w:pPr>
        <w:pStyle w:val="ListParagraph"/>
        <w:numPr>
          <w:ilvl w:val="0"/>
          <w:numId w:val="2"/>
        </w:numPr>
        <w:spacing w:after="60"/>
      </w:pPr>
      <w:r>
        <w:rPr>
          <w:rFonts w:ascii="Arial" w:cs="Arial" w:eastAsia="Arial" w:hAnsi="Arial"/>
          <w:sz w:val="20"/>
          <w:szCs w:val="20"/>
        </w:rPr>
        <w:t xml:space="preserve">Animation et feedback visuel lors des changements de position (ex. : dépassement).</w:t>
      </w:r>
    </w:p>
    <w:p>
      <w:pPr>
        <w:pStyle w:val="ListParagraph"/>
        <w:numPr>
          <w:ilvl w:val="0"/>
          <w:numId w:val="2"/>
        </w:numPr>
        <w:spacing w:after="60"/>
      </w:pPr>
      <w:r>
        <w:rPr>
          <w:rFonts w:ascii="Arial" w:cs="Arial" w:eastAsia="Arial" w:hAnsi="Arial"/>
          <w:sz w:val="20"/>
          <w:szCs w:val="20"/>
        </w:rPr>
        <w:t xml:space="preserve">Mode paysage pour une vue tableau complète sur grand écran.</w:t>
      </w:r>
    </w:p>
    <w:p>
      <w:pPr>
        <w:spacing w:after="120"/>
      </w:pPr>
    </w:p>
    <w:p>
      <w:pPr>
        <w:pStyle w:val="Heading2"/>
        <w:spacing w:before="280" w:after="160"/>
      </w:pPr>
      <w:r>
        <w:rPr>
          <w:rFonts w:ascii="Arial" w:cs="Arial" w:eastAsia="Arial" w:hAnsi="Arial"/>
          <w:b/>
          <w:bCs/>
          <w:color w:val="3A7CA5"/>
          <w:sz w:val="26"/>
          <w:szCs w:val="26"/>
        </w:rPr>
        <w:t xml:space="preserve">2.2 Module de règles et aide au jeu</w:t>
      </w:r>
    </w:p>
    <w:p>
      <w:pPr>
        <w:pStyle w:val="ListParagraph"/>
        <w:numPr>
          <w:ilvl w:val="0"/>
          <w:numId w:val="2"/>
        </w:numPr>
        <w:spacing w:after="60"/>
      </w:pPr>
      <w:r>
        <w:rPr>
          <w:rFonts w:ascii="Arial" w:cs="Arial" w:eastAsia="Arial" w:hAnsi="Arial"/>
          <w:sz w:val="20"/>
          <w:szCs w:val="20"/>
        </w:rPr>
        <w:t xml:space="preserve">Accès aux règles complètes du jeu, structurées et consultables par section.</w:t>
      </w:r>
    </w:p>
    <w:p>
      <w:pPr>
        <w:pStyle w:val="ListParagraph"/>
        <w:numPr>
          <w:ilvl w:val="0"/>
          <w:numId w:val="2"/>
        </w:numPr>
        <w:spacing w:after="60"/>
      </w:pPr>
      <w:r>
        <w:rPr>
          <w:rFonts w:ascii="Arial" w:cs="Arial" w:eastAsia="Arial" w:hAnsi="Arial"/>
          <w:sz w:val="20"/>
          <w:szCs w:val="20"/>
        </w:rPr>
        <w:t xml:space="preserve">Aide contextuelle : en phase d’enchères, rappel des règles de prédiction ; en phase de scoring, rappel des bonus.</w:t>
      </w:r>
    </w:p>
    <w:p>
      <w:pPr>
        <w:pStyle w:val="ListParagraph"/>
        <w:numPr>
          <w:ilvl w:val="0"/>
          <w:numId w:val="2"/>
        </w:numPr>
        <w:spacing w:after="60"/>
      </w:pPr>
      <w:r>
        <w:rPr>
          <w:rFonts w:ascii="Arial" w:cs="Arial" w:eastAsia="Arial" w:hAnsi="Arial"/>
          <w:sz w:val="20"/>
          <w:szCs w:val="20"/>
        </w:rPr>
        <w:t xml:space="preserve">FAQ interactive et glossaire des termes du jeu.</w:t>
      </w:r>
    </w:p>
    <w:p>
      <w:pPr>
        <w:pStyle w:val="ListParagraph"/>
        <w:numPr>
          <w:ilvl w:val="0"/>
          <w:numId w:val="2"/>
        </w:numPr>
        <w:spacing w:after="60"/>
      </w:pPr>
      <w:r>
        <w:rPr>
          <w:rFonts w:ascii="Arial" w:cs="Arial" w:eastAsia="Arial" w:hAnsi="Arial"/>
          <w:sz w:val="20"/>
          <w:szCs w:val="20"/>
        </w:rPr>
        <w:t xml:space="preserve">Tutoriel interactif pour les nouveaux joueurs.</w:t>
      </w:r>
    </w:p>
    <w:p>
      <w:pPr>
        <w:spacing w:after="120"/>
      </w:pPr>
    </w:p>
    <w:p>
      <w:pPr>
        <w:pStyle w:val="Heading2"/>
        <w:spacing w:before="280" w:after="160"/>
      </w:pPr>
      <w:r>
        <w:rPr>
          <w:rFonts w:ascii="Arial" w:cs="Arial" w:eastAsia="Arial" w:hAnsi="Arial"/>
          <w:b/>
          <w:bCs/>
          <w:color w:val="3A7CA5"/>
          <w:sz w:val="26"/>
          <w:szCs w:val="26"/>
        </w:rPr>
        <w:t xml:space="preserve">2.3 Module statistiques et historique</w:t>
      </w:r>
    </w:p>
    <w:p>
      <w:pPr>
        <w:pStyle w:val="ListParagraph"/>
        <w:numPr>
          <w:ilvl w:val="0"/>
          <w:numId w:val="2"/>
        </w:numPr>
        <w:spacing w:after="60"/>
      </w:pPr>
      <w:r>
        <w:rPr>
          <w:rFonts w:ascii="Arial" w:cs="Arial" w:eastAsia="Arial" w:hAnsi="Arial"/>
          <w:sz w:val="20"/>
          <w:szCs w:val="20"/>
        </w:rPr>
        <w:t xml:space="preserve">Historique complet des parties jouées (date, joueurs, scores finaux, durée).</w:t>
      </w:r>
    </w:p>
    <w:p>
      <w:pPr>
        <w:pStyle w:val="ListParagraph"/>
        <w:numPr>
          <w:ilvl w:val="0"/>
          <w:numId w:val="2"/>
        </w:numPr>
        <w:spacing w:after="60"/>
      </w:pPr>
      <w:r>
        <w:rPr>
          <w:rFonts w:ascii="Arial" w:cs="Arial" w:eastAsia="Arial" w:hAnsi="Arial"/>
          <w:sz w:val="20"/>
          <w:szCs w:val="20"/>
        </w:rPr>
        <w:t xml:space="preserve">Statistiques individuelles par joueur : nombre de parties, taux de victoire, meilleur score, précision moyenne des enchères, nombre de bonus capturés.</w:t>
      </w:r>
    </w:p>
    <w:p>
      <w:pPr>
        <w:pStyle w:val="ListParagraph"/>
        <w:numPr>
          <w:ilvl w:val="0"/>
          <w:numId w:val="2"/>
        </w:numPr>
        <w:spacing w:after="60"/>
      </w:pPr>
      <w:r>
        <w:rPr>
          <w:rFonts w:ascii="Arial" w:cs="Arial" w:eastAsia="Arial" w:hAnsi="Arial"/>
          <w:sz w:val="20"/>
          <w:szCs w:val="20"/>
        </w:rPr>
        <w:t xml:space="preserve">Classement global (ELO simplifié ou système de points) entre les joueurs d’un même groupe.</w:t>
      </w:r>
    </w:p>
    <w:p>
      <w:pPr>
        <w:pStyle w:val="ListParagraph"/>
        <w:numPr>
          <w:ilvl w:val="0"/>
          <w:numId w:val="2"/>
        </w:numPr>
        <w:spacing w:after="60"/>
      </w:pPr>
      <w:r>
        <w:rPr>
          <w:rFonts w:ascii="Arial" w:cs="Arial" w:eastAsia="Arial" w:hAnsi="Arial"/>
          <w:sz w:val="20"/>
          <w:szCs w:val="20"/>
        </w:rPr>
        <w:t xml:space="preserve">Graphiques et visualisations de tendance (progression au fil du temps).</w:t>
      </w:r>
    </w:p>
    <w:p>
      <w:pPr>
        <w:spacing w:after="120"/>
      </w:pPr>
    </w:p>
    <w:p>
      <w:pPr>
        <w:pStyle w:val="Heading2"/>
        <w:spacing w:before="280" w:after="160"/>
      </w:pPr>
      <w:r>
        <w:rPr>
          <w:rFonts w:ascii="Arial" w:cs="Arial" w:eastAsia="Arial" w:hAnsi="Arial"/>
          <w:b/>
          <w:bCs/>
          <w:color w:val="3A7CA5"/>
          <w:sz w:val="26"/>
          <w:szCs w:val="26"/>
        </w:rPr>
        <w:t xml:space="preserve">2.4 Module social et multijoueur</w:t>
      </w:r>
    </w:p>
    <w:p>
      <w:pPr>
        <w:pStyle w:val="ListParagraph"/>
        <w:numPr>
          <w:ilvl w:val="0"/>
          <w:numId w:val="2"/>
        </w:numPr>
        <w:spacing w:after="60"/>
      </w:pPr>
      <w:r>
        <w:rPr>
          <w:rFonts w:ascii="Arial" w:cs="Arial" w:eastAsia="Arial" w:hAnsi="Arial"/>
          <w:sz w:val="20"/>
          <w:szCs w:val="20"/>
        </w:rPr>
        <w:t xml:space="preserve">Partage des résultats de partie (image récapitulatif ou lien) sur les réseaux sociaux et messageries.</w:t>
      </w:r>
    </w:p>
    <w:p>
      <w:pPr>
        <w:pStyle w:val="ListParagraph"/>
        <w:numPr>
          <w:ilvl w:val="0"/>
          <w:numId w:val="2"/>
        </w:numPr>
        <w:spacing w:after="60"/>
      </w:pPr>
      <w:r>
        <w:rPr>
          <w:rFonts w:ascii="Arial" w:cs="Arial" w:eastAsia="Arial" w:hAnsi="Arial"/>
          <w:sz w:val="20"/>
          <w:szCs w:val="20"/>
        </w:rPr>
        <w:t xml:space="preserve">Mode multijoueur local : synchronisation des écrans pour saisie des enchères en mode blind (chaque joueur entre sa prédiction sur son téléphone, révélation simultanée sur l’écran hôte).</w:t>
      </w:r>
    </w:p>
    <w:p>
      <w:pPr>
        <w:pStyle w:val="ListParagraph"/>
        <w:numPr>
          <w:ilvl w:val="0"/>
          <w:numId w:val="2"/>
        </w:numPr>
        <w:spacing w:after="60"/>
      </w:pPr>
      <w:r>
        <w:rPr>
          <w:rFonts w:ascii="Arial" w:cs="Arial" w:eastAsia="Arial" w:hAnsi="Arial"/>
          <w:sz w:val="20"/>
          <w:szCs w:val="20"/>
        </w:rPr>
        <w:t xml:space="preserve">Création de groupes de joueurs récurrents.</w:t>
      </w:r>
    </w:p>
    <w:p>
      <w:pPr>
        <w:spacing w:after="120"/>
      </w:pPr>
    </w:p>
    <w:p>
      <w:pPr>
        <w:pBdr>
          <w:bottom w:val="single" w:color="3A7CA5" w:sz="4" w:space="1"/>
        </w:pBdr>
        <w:spacing w:before="200" w:after="200"/>
      </w:pPr>
    </w:p>
    <w:p>
      <w:r>
        <w:br w:type="page"/>
      </w:r>
    </w:p>
    <w:p>
      <w:pPr>
        <w:pStyle w:val="Heading1"/>
        <w:spacing w:before="360" w:after="200"/>
      </w:pPr>
      <w:r>
        <w:rPr>
          <w:rFonts w:ascii="Arial" w:cs="Arial" w:eastAsia="Arial" w:hAnsi="Arial"/>
          <w:b/>
          <w:bCs/>
          <w:color w:val="2B4C7E"/>
          <w:sz w:val="32"/>
          <w:szCs w:val="32"/>
        </w:rPr>
        <w:t xml:space="preserve">3. Architecture technique</w:t>
      </w:r>
    </w:p>
    <w:p>
      <w:pPr>
        <w:pStyle w:val="Heading2"/>
        <w:spacing w:before="280" w:after="160"/>
      </w:pPr>
      <w:r>
        <w:rPr>
          <w:rFonts w:ascii="Arial" w:cs="Arial" w:eastAsia="Arial" w:hAnsi="Arial"/>
          <w:b/>
          <w:bCs/>
          <w:color w:val="3A7CA5"/>
          <w:sz w:val="26"/>
          <w:szCs w:val="26"/>
        </w:rPr>
        <w:t xml:space="preserve">3.1 Approche générale</w:t>
      </w:r>
    </w:p>
    <w:p>
      <w:pPr>
        <w:spacing w:after="120"/>
        <w:jc w:val="both"/>
      </w:pPr>
      <w:r>
        <w:rPr>
          <w:rFonts w:ascii="Arial" w:cs="Arial" w:eastAsia="Arial" w:hAnsi="Arial"/>
          <w:sz w:val="20"/>
          <w:szCs w:val="20"/>
        </w:rPr>
        <w:t xml:space="preserve">L’application sera développée en approche cross-platform pour maximiser la couverture utilisateur tout en rationalisant les coûts de développement. L’architecture suivra un modèle modulaire, chaque jeu étant encapsulé dans un plugin indépendant.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6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Choix technologique recommandé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Framework mobile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React Native (Expo) ou Flutter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Langage</w:t>
            </w:r>
          </w:p>
        </w:tc>
        <w:tc>
          <w:tcPr>
            <w:tcW w:type="dxa" w:w="6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TypeScript (React Native) / Dart (Flutter)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Stockage local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SQLite (via expo-sqlite ou drift) pour l’historique et les profils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Backend (optionnel)</w:t>
            </w:r>
          </w:p>
        </w:tc>
        <w:tc>
          <w:tcPr>
            <w:tcW w:type="dxa" w:w="6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Supabase ou Firebase pour la synchro cloud et le multijoueur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Synchro locale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Bluetooth Low Energy ou Wi-Fi Direct pour le mode blind local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Tests</w:t>
            </w:r>
          </w:p>
        </w:tc>
        <w:tc>
          <w:tcPr>
            <w:tcW w:type="dxa" w:w="6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Jest + React Native Testing Library / Flutter 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CI/CD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GitHub Actions + EAS Build (Expo) ou Codemagic (Flutter)</w:t>
            </w:r>
          </w:p>
        </w:tc>
      </w:tr>
    </w:tbl>
    <w:p>
      <w:pPr>
        <w:spacing w:after="200"/>
      </w:pPr>
    </w:p>
    <w:p>
      <w:pPr>
        <w:pStyle w:val="Heading2"/>
        <w:spacing w:before="280" w:after="160"/>
      </w:pPr>
      <w:r>
        <w:rPr>
          <w:rFonts w:ascii="Arial" w:cs="Arial" w:eastAsia="Arial" w:hAnsi="Arial"/>
          <w:b/>
          <w:bCs/>
          <w:color w:val="3A7CA5"/>
          <w:sz w:val="26"/>
          <w:szCs w:val="26"/>
        </w:rPr>
        <w:t xml:space="preserve">3.2 Architecture modulaire (système de plugins)</w:t>
      </w:r>
    </w:p>
    <w:p>
      <w:pPr>
        <w:spacing w:after="120"/>
        <w:jc w:val="both"/>
      </w:pPr>
      <w:r>
        <w:rPr>
          <w:rFonts w:ascii="Arial" w:cs="Arial" w:eastAsia="Arial" w:hAnsi="Arial"/>
          <w:sz w:val="20"/>
          <w:szCs w:val="20"/>
        </w:rPr>
        <w:t xml:space="preserve">Chaque jeu est défini par un module plugin implémentant une interface commune :</w:t>
      </w:r>
    </w:p>
    <w:p>
      <w:pPr>
        <w:pStyle w:val="ListParagraph"/>
        <w:numPr>
          <w:ilvl w:val="0"/>
          <w:numId w:val="2"/>
        </w:numPr>
        <w:spacing w:after="60"/>
      </w:pPr>
      <w:r>
        <w:rPr>
          <w:rFonts w:ascii="Arial" w:cs="Arial" w:eastAsia="Arial" w:hAnsi="Arial"/>
          <w:sz w:val="20"/>
          <w:szCs w:val="20"/>
        </w:rPr>
        <w:t xml:space="preserve">Moteur de scoring : logique de calcul des points spécifique au jeu.</w:t>
      </w:r>
    </w:p>
    <w:p>
      <w:pPr>
        <w:pStyle w:val="ListParagraph"/>
        <w:numPr>
          <w:ilvl w:val="0"/>
          <w:numId w:val="2"/>
        </w:numPr>
        <w:spacing w:after="60"/>
      </w:pPr>
      <w:r>
        <w:rPr>
          <w:rFonts w:ascii="Arial" w:cs="Arial" w:eastAsia="Arial" w:hAnsi="Arial"/>
          <w:sz w:val="20"/>
          <w:szCs w:val="20"/>
        </w:rPr>
        <w:t xml:space="preserve">Modèle de données : structure d’une manche, d’une enchère, de bonus, etc.</w:t>
      </w:r>
    </w:p>
    <w:p>
      <w:pPr>
        <w:pStyle w:val="ListParagraph"/>
        <w:numPr>
          <w:ilvl w:val="0"/>
          <w:numId w:val="2"/>
        </w:numPr>
        <w:spacing w:after="60"/>
      </w:pPr>
      <w:r>
        <w:rPr>
          <w:rFonts w:ascii="Arial" w:cs="Arial" w:eastAsia="Arial" w:hAnsi="Arial"/>
          <w:sz w:val="20"/>
          <w:szCs w:val="20"/>
        </w:rPr>
        <w:t xml:space="preserve">Configuration : nombre de joueurs, nombre de manches, variantes disponibles.</w:t>
      </w:r>
    </w:p>
    <w:p>
      <w:pPr>
        <w:pStyle w:val="ListParagraph"/>
        <w:numPr>
          <w:ilvl w:val="0"/>
          <w:numId w:val="2"/>
        </w:numPr>
        <w:spacing w:after="60"/>
      </w:pPr>
      <w:r>
        <w:rPr>
          <w:rFonts w:ascii="Arial" w:cs="Arial" w:eastAsia="Arial" w:hAnsi="Arial"/>
          <w:sz w:val="20"/>
          <w:szCs w:val="20"/>
        </w:rPr>
        <w:t xml:space="preserve">UI spécifique : écrans de saisie adaptés au jeu (ex. : sélecteur de bonus Skull King).</w:t>
      </w:r>
    </w:p>
    <w:p>
      <w:pPr>
        <w:pStyle w:val="ListParagraph"/>
        <w:numPr>
          <w:ilvl w:val="0"/>
          <w:numId w:val="2"/>
        </w:numPr>
        <w:spacing w:after="60"/>
      </w:pPr>
      <w:r>
        <w:rPr>
          <w:rFonts w:ascii="Arial" w:cs="Arial" w:eastAsia="Arial" w:hAnsi="Arial"/>
          <w:sz w:val="20"/>
          <w:szCs w:val="20"/>
        </w:rPr>
        <w:t xml:space="preserve">Contenu règles : textes, illustrations, tutoriel pour le jeu concerné.</w:t>
      </w:r>
    </w:p>
    <w:p>
      <w:pPr>
        <w:spacing w:after="120"/>
      </w:pPr>
    </w:p>
    <w:p>
      <w:pPr>
        <w:spacing w:after="120"/>
        <w:jc w:val="both"/>
      </w:pPr>
      <w:r>
        <w:rPr>
          <w:rFonts w:ascii="Arial" w:cs="Arial" w:eastAsia="Arial" w:hAnsi="Arial"/>
          <w:sz w:val="20"/>
          <w:szCs w:val="20"/>
        </w:rPr>
        <w:t xml:space="preserve">Cette architecture garantit qu’un nouveau jeu peut être ajouté sans impacter le code commun (gestion des profils, historique, navigation générale).</w:t>
      </w:r>
    </w:p>
    <w:p>
      <w:pPr>
        <w:spacing w:after="120"/>
      </w:pPr>
    </w:p>
    <w:p>
      <w:pPr>
        <w:pStyle w:val="Heading2"/>
        <w:spacing w:before="280" w:after="160"/>
      </w:pPr>
      <w:r>
        <w:rPr>
          <w:rFonts w:ascii="Arial" w:cs="Arial" w:eastAsia="Arial" w:hAnsi="Arial"/>
          <w:b/>
          <w:bCs/>
          <w:color w:val="3A7CA5"/>
          <w:sz w:val="26"/>
          <w:szCs w:val="26"/>
        </w:rPr>
        <w:t xml:space="preserve">3.3 Modèle de données (Skull King)</w:t>
      </w:r>
    </w:p>
    <w:p>
      <w:pPr>
        <w:spacing w:after="120"/>
        <w:jc w:val="both"/>
      </w:pPr>
      <w:r>
        <w:rPr>
          <w:rFonts w:ascii="Arial" w:cs="Arial" w:eastAsia="Arial" w:hAnsi="Arial"/>
          <w:sz w:val="20"/>
          <w:szCs w:val="20"/>
        </w:rPr>
        <w:t xml:space="preserve">Schéma simplifié des entités principales pour le module Skull King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Entité</w:t>
            </w:r>
          </w:p>
        </w:tc>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 clé</w:t>
            </w:r>
          </w:p>
        </w:tc>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7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Player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id, name, avatar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Profil joueur persistant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Game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id, date, players[], variant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Partie complète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Round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roundNumber, bids[], results[]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Manche (1 à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Bid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playerId, predictedTricks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Enchère d’un joueur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RoundResult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playerId, actualTricks, bonuses[]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 Bonus[]</w:t>
            </w:r>
          </w:p>
        </w:tc>
        <w:tc>
          <w:tcPr>
            <w:tcW w:type="dxa" w:w="2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Résultat d’une manche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Bonus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type, 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enum, int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Pirate, Sirène, SK capturé, etc.</w:t>
            </w:r>
          </w:p>
        </w:tc>
      </w:tr>
    </w:tbl>
    <w:p>
      <w:pPr>
        <w:spacing w:after="200"/>
      </w:pPr>
    </w:p>
    <w:p>
      <w:pPr>
        <w:pBdr>
          <w:bottom w:val="single" w:color="3A7CA5" w:sz="4" w:space="1"/>
        </w:pBdr>
        <w:spacing w:before="200" w:after="200"/>
      </w:pPr>
    </w:p>
    <w:p>
      <w:r>
        <w:br w:type="page"/>
      </w:r>
    </w:p>
    <w:p>
      <w:pPr>
        <w:pStyle w:val="Heading1"/>
        <w:spacing w:before="360" w:after="200"/>
      </w:pPr>
      <w:r>
        <w:rPr>
          <w:rFonts w:ascii="Arial" w:cs="Arial" w:eastAsia="Arial" w:hAnsi="Arial"/>
          <w:b/>
          <w:bCs/>
          <w:color w:val="2B4C7E"/>
          <w:sz w:val="32"/>
          <w:szCs w:val="32"/>
        </w:rPr>
        <w:t xml:space="preserve">4. Exigences non fonctionnelles</w:t>
      </w:r>
    </w:p>
    <w:p>
      <w:pPr>
        <w:pStyle w:val="Heading2"/>
        <w:spacing w:before="280" w:after="160"/>
      </w:pPr>
      <w:r>
        <w:rPr>
          <w:rFonts w:ascii="Arial" w:cs="Arial" w:eastAsia="Arial" w:hAnsi="Arial"/>
          <w:b/>
          <w:bCs/>
          <w:color w:val="3A7CA5"/>
          <w:sz w:val="26"/>
          <w:szCs w:val="26"/>
        </w:rPr>
        <w:t xml:space="preserve">4.1 Performance</w:t>
      </w:r>
    </w:p>
    <w:p>
      <w:pPr>
        <w:pStyle w:val="ListParagraph"/>
        <w:numPr>
          <w:ilvl w:val="0"/>
          <w:numId w:val="2"/>
        </w:numPr>
        <w:spacing w:after="60"/>
      </w:pPr>
      <w:r>
        <w:rPr>
          <w:rFonts w:ascii="Arial" w:cs="Arial" w:eastAsia="Arial" w:hAnsi="Arial"/>
          <w:sz w:val="20"/>
          <w:szCs w:val="20"/>
        </w:rPr>
        <w:t xml:space="preserve">Temps de lancement de l’application : &lt; 2 secondes sur un appareil standard.</w:t>
      </w:r>
    </w:p>
    <w:p>
      <w:pPr>
        <w:pStyle w:val="ListParagraph"/>
        <w:numPr>
          <w:ilvl w:val="0"/>
          <w:numId w:val="2"/>
        </w:numPr>
        <w:spacing w:after="60"/>
      </w:pPr>
      <w:r>
        <w:rPr>
          <w:rFonts w:ascii="Arial" w:cs="Arial" w:eastAsia="Arial" w:hAnsi="Arial"/>
          <w:sz w:val="20"/>
          <w:szCs w:val="20"/>
        </w:rPr>
        <w:t xml:space="preserve">Calcul des scores instantané (&lt; 100 ms) après validation des résultats de manche.</w:t>
      </w:r>
    </w:p>
    <w:p>
      <w:pPr>
        <w:pStyle w:val="ListParagraph"/>
        <w:numPr>
          <w:ilvl w:val="0"/>
          <w:numId w:val="2"/>
        </w:numPr>
        <w:spacing w:after="60"/>
      </w:pPr>
      <w:r>
        <w:rPr>
          <w:rFonts w:ascii="Arial" w:cs="Arial" w:eastAsia="Arial" w:hAnsi="Arial"/>
          <w:sz w:val="20"/>
          <w:szCs w:val="20"/>
        </w:rPr>
        <w:t xml:space="preserve">Fluidité des animations à 60 fps minimum.</w:t>
      </w:r>
    </w:p>
    <w:p>
      <w:pPr>
        <w:pStyle w:val="ListParagraph"/>
        <w:numPr>
          <w:ilvl w:val="0"/>
          <w:numId w:val="2"/>
        </w:numPr>
        <w:spacing w:after="60"/>
      </w:pPr>
      <w:r>
        <w:rPr>
          <w:rFonts w:ascii="Arial" w:cs="Arial" w:eastAsia="Arial" w:hAnsi="Arial"/>
          <w:sz w:val="20"/>
          <w:szCs w:val="20"/>
        </w:rPr>
        <w:t xml:space="preserve">Taille de l’application : &lt; 50 Mo installée.</w:t>
      </w:r>
    </w:p>
    <w:p>
      <w:pPr>
        <w:spacing w:after="120"/>
      </w:pPr>
    </w:p>
    <w:p>
      <w:pPr>
        <w:pStyle w:val="Heading2"/>
        <w:spacing w:before="280" w:after="160"/>
      </w:pPr>
      <w:r>
        <w:rPr>
          <w:rFonts w:ascii="Arial" w:cs="Arial" w:eastAsia="Arial" w:hAnsi="Arial"/>
          <w:b/>
          <w:bCs/>
          <w:color w:val="3A7CA5"/>
          <w:sz w:val="26"/>
          <w:szCs w:val="26"/>
        </w:rPr>
        <w:t xml:space="preserve">4.2 Compatibilité</w:t>
      </w:r>
    </w:p>
    <w:p>
      <w:pPr>
        <w:pStyle w:val="ListParagraph"/>
        <w:numPr>
          <w:ilvl w:val="0"/>
          <w:numId w:val="2"/>
        </w:numPr>
        <w:spacing w:after="60"/>
      </w:pPr>
      <w:r>
        <w:rPr>
          <w:rFonts w:ascii="Arial" w:cs="Arial" w:eastAsia="Arial" w:hAnsi="Arial"/>
          <w:sz w:val="20"/>
          <w:szCs w:val="20"/>
        </w:rPr>
        <w:t xml:space="preserve">iOS 15+ et Android 10+ (API 29+).</w:t>
      </w:r>
    </w:p>
    <w:p>
      <w:pPr>
        <w:pStyle w:val="ListParagraph"/>
        <w:numPr>
          <w:ilvl w:val="0"/>
          <w:numId w:val="2"/>
        </w:numPr>
        <w:spacing w:after="60"/>
      </w:pPr>
      <w:r>
        <w:rPr>
          <w:rFonts w:ascii="Arial" w:cs="Arial" w:eastAsia="Arial" w:hAnsi="Arial"/>
          <w:sz w:val="20"/>
          <w:szCs w:val="20"/>
        </w:rPr>
        <w:t xml:space="preserve">Smartphones et tablettes (responsive design).</w:t>
      </w:r>
    </w:p>
    <w:p>
      <w:pPr>
        <w:pStyle w:val="ListParagraph"/>
        <w:numPr>
          <w:ilvl w:val="0"/>
          <w:numId w:val="2"/>
        </w:numPr>
        <w:spacing w:after="60"/>
      </w:pPr>
      <w:r>
        <w:rPr>
          <w:rFonts w:ascii="Arial" w:cs="Arial" w:eastAsia="Arial" w:hAnsi="Arial"/>
          <w:sz w:val="20"/>
          <w:szCs w:val="20"/>
        </w:rPr>
        <w:t xml:space="preserve">Mode hors-ligne complet pour le suivi de score local (pas de dépendance réseau en partie).</w:t>
      </w:r>
    </w:p>
    <w:p>
      <w:pPr>
        <w:pStyle w:val="ListParagraph"/>
        <w:numPr>
          <w:ilvl w:val="0"/>
          <w:numId w:val="2"/>
        </w:numPr>
        <w:spacing w:after="60"/>
      </w:pPr>
      <w:r>
        <w:rPr>
          <w:rFonts w:ascii="Arial" w:cs="Arial" w:eastAsia="Arial" w:hAnsi="Arial"/>
          <w:sz w:val="20"/>
          <w:szCs w:val="20"/>
        </w:rPr>
        <w:t xml:space="preserve">Support des modes clair et sombre.</w:t>
      </w:r>
    </w:p>
    <w:p>
      <w:pPr>
        <w:spacing w:after="120"/>
      </w:pPr>
    </w:p>
    <w:p>
      <w:pPr>
        <w:pStyle w:val="Heading2"/>
        <w:spacing w:before="280" w:after="160"/>
      </w:pPr>
      <w:r>
        <w:rPr>
          <w:rFonts w:ascii="Arial" w:cs="Arial" w:eastAsia="Arial" w:hAnsi="Arial"/>
          <w:b/>
          <w:bCs/>
          <w:color w:val="3A7CA5"/>
          <w:sz w:val="26"/>
          <w:szCs w:val="26"/>
        </w:rPr>
        <w:t xml:space="preserve">4.3 Accessibilité</w:t>
      </w:r>
    </w:p>
    <w:p>
      <w:pPr>
        <w:pStyle w:val="ListParagraph"/>
        <w:numPr>
          <w:ilvl w:val="0"/>
          <w:numId w:val="2"/>
        </w:numPr>
        <w:spacing w:after="60"/>
      </w:pPr>
      <w:r>
        <w:rPr>
          <w:rFonts w:ascii="Arial" w:cs="Arial" w:eastAsia="Arial" w:hAnsi="Arial"/>
          <w:sz w:val="20"/>
          <w:szCs w:val="20"/>
        </w:rPr>
        <w:t xml:space="preserve">Conformité WCAG 2.1 niveau AA (contrastes, taille des cibles tactiles ≥ 44px).</w:t>
      </w:r>
    </w:p>
    <w:p>
      <w:pPr>
        <w:pStyle w:val="ListParagraph"/>
        <w:numPr>
          <w:ilvl w:val="0"/>
          <w:numId w:val="2"/>
        </w:numPr>
        <w:spacing w:after="60"/>
      </w:pPr>
      <w:r>
        <w:rPr>
          <w:rFonts w:ascii="Arial" w:cs="Arial" w:eastAsia="Arial" w:hAnsi="Arial"/>
          <w:sz w:val="20"/>
          <w:szCs w:val="20"/>
        </w:rPr>
        <w:t xml:space="preserve">Compatible VoiceOver (iOS) et TalkBack (Android).</w:t>
      </w:r>
    </w:p>
    <w:p>
      <w:pPr>
        <w:pStyle w:val="ListParagraph"/>
        <w:numPr>
          <w:ilvl w:val="0"/>
          <w:numId w:val="2"/>
        </w:numPr>
        <w:spacing w:after="60"/>
      </w:pPr>
      <w:r>
        <w:rPr>
          <w:rFonts w:ascii="Arial" w:cs="Arial" w:eastAsia="Arial" w:hAnsi="Arial"/>
          <w:sz w:val="20"/>
          <w:szCs w:val="20"/>
        </w:rPr>
        <w:t xml:space="preserve">Tailles de police ajustables.</w:t>
      </w:r>
    </w:p>
    <w:p>
      <w:pPr>
        <w:spacing w:after="120"/>
      </w:pPr>
    </w:p>
    <w:p>
      <w:pPr>
        <w:pStyle w:val="Heading2"/>
        <w:spacing w:before="280" w:after="160"/>
      </w:pPr>
      <w:r>
        <w:rPr>
          <w:rFonts w:ascii="Arial" w:cs="Arial" w:eastAsia="Arial" w:hAnsi="Arial"/>
          <w:b/>
          <w:bCs/>
          <w:color w:val="3A7CA5"/>
          <w:sz w:val="26"/>
          <w:szCs w:val="26"/>
        </w:rPr>
        <w:t xml:space="preserve">4.4 Sécurité et confidentialité</w:t>
      </w:r>
    </w:p>
    <w:p>
      <w:pPr>
        <w:pStyle w:val="ListParagraph"/>
        <w:numPr>
          <w:ilvl w:val="0"/>
          <w:numId w:val="2"/>
        </w:numPr>
        <w:spacing w:after="60"/>
      </w:pPr>
      <w:r>
        <w:rPr>
          <w:rFonts w:ascii="Arial" w:cs="Arial" w:eastAsia="Arial" w:hAnsi="Arial"/>
          <w:sz w:val="20"/>
          <w:szCs w:val="20"/>
        </w:rPr>
        <w:t xml:space="preserve">Données stockées localement par défaut (pas de compte obligatoire).</w:t>
      </w:r>
    </w:p>
    <w:p>
      <w:pPr>
        <w:pStyle w:val="ListParagraph"/>
        <w:numPr>
          <w:ilvl w:val="0"/>
          <w:numId w:val="2"/>
        </w:numPr>
        <w:spacing w:after="60"/>
      </w:pPr>
      <w:r>
        <w:rPr>
          <w:rFonts w:ascii="Arial" w:cs="Arial" w:eastAsia="Arial" w:hAnsi="Arial"/>
          <w:sz w:val="20"/>
          <w:szCs w:val="20"/>
        </w:rPr>
        <w:t xml:space="preserve">Si backend activé : authentification OAuth 2.0, chiffrement des données en transit (TLS 1.3) et au repos.</w:t>
      </w:r>
    </w:p>
    <w:p>
      <w:pPr>
        <w:pStyle w:val="ListParagraph"/>
        <w:numPr>
          <w:ilvl w:val="0"/>
          <w:numId w:val="2"/>
        </w:numPr>
        <w:spacing w:after="60"/>
      </w:pPr>
      <w:r>
        <w:rPr>
          <w:rFonts w:ascii="Arial" w:cs="Arial" w:eastAsia="Arial" w:hAnsi="Arial"/>
          <w:sz w:val="20"/>
          <w:szCs w:val="20"/>
        </w:rPr>
        <w:t xml:space="preserve">Conformité RGPD : consentement explicite, droit à l’effacement, minimisation des données collectées.</w:t>
      </w:r>
    </w:p>
    <w:p>
      <w:pPr>
        <w:pStyle w:val="ListParagraph"/>
        <w:numPr>
          <w:ilvl w:val="0"/>
          <w:numId w:val="2"/>
        </w:numPr>
        <w:spacing w:after="60"/>
      </w:pPr>
      <w:r>
        <w:rPr>
          <w:rFonts w:ascii="Arial" w:cs="Arial" w:eastAsia="Arial" w:hAnsi="Arial"/>
          <w:sz w:val="20"/>
          <w:szCs w:val="20"/>
        </w:rPr>
        <w:t xml:space="preserve">Aucune collecte de données personnelles à des fins publicitaires.</w:t>
      </w:r>
    </w:p>
    <w:p>
      <w:pPr>
        <w:spacing w:after="120"/>
      </w:pPr>
    </w:p>
    <w:p>
      <w:pPr>
        <w:pStyle w:val="Heading2"/>
        <w:spacing w:before="280" w:after="160"/>
      </w:pPr>
      <w:r>
        <w:rPr>
          <w:rFonts w:ascii="Arial" w:cs="Arial" w:eastAsia="Arial" w:hAnsi="Arial"/>
          <w:b/>
          <w:bCs/>
          <w:color w:val="3A7CA5"/>
          <w:sz w:val="26"/>
          <w:szCs w:val="26"/>
        </w:rPr>
        <w:t xml:space="preserve">4.5 Maintenabilité et qualité</w:t>
      </w:r>
    </w:p>
    <w:p>
      <w:pPr>
        <w:pStyle w:val="ListParagraph"/>
        <w:numPr>
          <w:ilvl w:val="0"/>
          <w:numId w:val="2"/>
        </w:numPr>
        <w:spacing w:after="60"/>
      </w:pPr>
      <w:r>
        <w:rPr>
          <w:rFonts w:ascii="Arial" w:cs="Arial" w:eastAsia="Arial" w:hAnsi="Arial"/>
          <w:sz w:val="20"/>
          <w:szCs w:val="20"/>
        </w:rPr>
        <w:t xml:space="preserve">Couverture de tests unitaires ≥ 80 % sur la logique de scoring.</w:t>
      </w:r>
    </w:p>
    <w:p>
      <w:pPr>
        <w:pStyle w:val="ListParagraph"/>
        <w:numPr>
          <w:ilvl w:val="0"/>
          <w:numId w:val="2"/>
        </w:numPr>
        <w:spacing w:after="60"/>
      </w:pPr>
      <w:r>
        <w:rPr>
          <w:rFonts w:ascii="Arial" w:cs="Arial" w:eastAsia="Arial" w:hAnsi="Arial"/>
          <w:sz w:val="20"/>
          <w:szCs w:val="20"/>
        </w:rPr>
        <w:t xml:space="preserve">Tests d’intégration automatisés sur les flux principaux (création de partie, saisie des scores, fin de partie).</w:t>
      </w:r>
    </w:p>
    <w:p>
      <w:pPr>
        <w:pStyle w:val="ListParagraph"/>
        <w:numPr>
          <w:ilvl w:val="0"/>
          <w:numId w:val="2"/>
        </w:numPr>
        <w:spacing w:after="60"/>
      </w:pPr>
      <w:r>
        <w:rPr>
          <w:rFonts w:ascii="Arial" w:cs="Arial" w:eastAsia="Arial" w:hAnsi="Arial"/>
          <w:sz w:val="20"/>
          <w:szCs w:val="20"/>
        </w:rPr>
        <w:t xml:space="preserve">Documentation technique complète (architecture, API des plugins, guide de contribution).</w:t>
      </w:r>
    </w:p>
    <w:p>
      <w:pPr>
        <w:pStyle w:val="ListParagraph"/>
        <w:numPr>
          <w:ilvl w:val="0"/>
          <w:numId w:val="2"/>
        </w:numPr>
        <w:spacing w:after="60"/>
      </w:pPr>
      <w:r>
        <w:rPr>
          <w:rFonts w:ascii="Arial" w:cs="Arial" w:eastAsia="Arial" w:hAnsi="Arial"/>
          <w:sz w:val="20"/>
          <w:szCs w:val="20"/>
        </w:rPr>
        <w:t xml:space="preserve">Code source versionné sous Git avec revue de code systématique.</w:t>
      </w:r>
    </w:p>
    <w:p>
      <w:pPr>
        <w:spacing w:after="120"/>
      </w:pPr>
    </w:p>
    <w:p>
      <w:pPr>
        <w:pBdr>
          <w:bottom w:val="single" w:color="3A7CA5" w:sz="4" w:space="1"/>
        </w:pBdr>
        <w:spacing w:before="200" w:after="200"/>
      </w:pPr>
    </w:p>
    <w:p>
      <w:r>
        <w:br w:type="page"/>
      </w:r>
    </w:p>
    <w:p>
      <w:pPr>
        <w:pStyle w:val="Heading1"/>
        <w:spacing w:before="360" w:after="200"/>
      </w:pPr>
      <w:r>
        <w:rPr>
          <w:rFonts w:ascii="Arial" w:cs="Arial" w:eastAsia="Arial" w:hAnsi="Arial"/>
          <w:b/>
          <w:bCs/>
          <w:color w:val="2B4C7E"/>
          <w:sz w:val="32"/>
          <w:szCs w:val="32"/>
        </w:rPr>
        <w:t xml:space="preserve">5. Expérience utilisateur et design</w:t>
      </w:r>
    </w:p>
    <w:p>
      <w:pPr>
        <w:pStyle w:val="Heading2"/>
        <w:spacing w:before="280" w:after="160"/>
      </w:pPr>
      <w:r>
        <w:rPr>
          <w:rFonts w:ascii="Arial" w:cs="Arial" w:eastAsia="Arial" w:hAnsi="Arial"/>
          <w:b/>
          <w:bCs/>
          <w:color w:val="3A7CA5"/>
          <w:sz w:val="26"/>
          <w:szCs w:val="26"/>
        </w:rPr>
        <w:t xml:space="preserve">5.1 Principes directeurs</w:t>
      </w:r>
    </w:p>
    <w:p>
      <w:pPr>
        <w:pStyle w:val="ListParagraph"/>
        <w:numPr>
          <w:ilvl w:val="0"/>
          <w:numId w:val="2"/>
        </w:numPr>
        <w:spacing w:after="60"/>
      </w:pPr>
      <w:r>
        <w:rPr>
          <w:rFonts w:ascii="Arial" w:cs="Arial" w:eastAsia="Arial" w:hAnsi="Arial"/>
          <w:sz w:val="20"/>
          <w:szCs w:val="20"/>
        </w:rPr>
        <w:t xml:space="preserve">Priorité à la rapidité de saisie : le jeu physique ne doit pas attendre l’application. Saisie en 2-3 taps maximum par joueur par manche.</w:t>
      </w:r>
    </w:p>
    <w:p>
      <w:pPr>
        <w:pStyle w:val="ListParagraph"/>
        <w:numPr>
          <w:ilvl w:val="0"/>
          <w:numId w:val="2"/>
        </w:numPr>
        <w:spacing w:after="60"/>
      </w:pPr>
      <w:r>
        <w:rPr>
          <w:rFonts w:ascii="Arial" w:cs="Arial" w:eastAsia="Arial" w:hAnsi="Arial"/>
          <w:sz w:val="20"/>
          <w:szCs w:val="20"/>
        </w:rPr>
        <w:t xml:space="preserve">Clarté visuelle : les informations critiques (score actuel, classement) doivent être lisibles d’un coup d’œil, même à distance.</w:t>
      </w:r>
    </w:p>
    <w:p>
      <w:pPr>
        <w:pStyle w:val="ListParagraph"/>
        <w:numPr>
          <w:ilvl w:val="0"/>
          <w:numId w:val="2"/>
        </w:numPr>
        <w:spacing w:after="60"/>
      </w:pPr>
      <w:r>
        <w:rPr>
          <w:rFonts w:ascii="Arial" w:cs="Arial" w:eastAsia="Arial" w:hAnsi="Arial"/>
          <w:sz w:val="20"/>
          <w:szCs w:val="20"/>
        </w:rPr>
        <w:t xml:space="preserve">Ambiance ludique : palette de couleurs et iconographie cohérentes avec l’univers pirate de Skull King, sans surcharger l’interface.</w:t>
      </w:r>
    </w:p>
    <w:p>
      <w:pPr>
        <w:pStyle w:val="ListParagraph"/>
        <w:numPr>
          <w:ilvl w:val="0"/>
          <w:numId w:val="2"/>
        </w:numPr>
        <w:spacing w:after="60"/>
      </w:pPr>
      <w:r>
        <w:rPr>
          <w:rFonts w:ascii="Arial" w:cs="Arial" w:eastAsia="Arial" w:hAnsi="Arial"/>
          <w:sz w:val="20"/>
          <w:szCs w:val="20"/>
        </w:rPr>
        <w:t xml:space="preserve">Gestion d’erreur bienveillante : possibilité de corriger une saisie à tout moment (retour en arrière sur une manche).</w:t>
      </w:r>
    </w:p>
    <w:p>
      <w:pPr>
        <w:spacing w:after="120"/>
      </w:pPr>
    </w:p>
    <w:p>
      <w:pPr>
        <w:pStyle w:val="Heading2"/>
        <w:spacing w:before="280" w:after="160"/>
      </w:pPr>
      <w:r>
        <w:rPr>
          <w:rFonts w:ascii="Arial" w:cs="Arial" w:eastAsia="Arial" w:hAnsi="Arial"/>
          <w:b/>
          <w:bCs/>
          <w:color w:val="3A7CA5"/>
          <w:sz w:val="26"/>
          <w:szCs w:val="26"/>
        </w:rPr>
        <w:t xml:space="preserve">5.2 Écrans principaux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Écran</w:t>
            </w:r>
          </w:p>
        </w:tc>
        <w:tc>
          <w:tcPr>
            <w:tcW w:type="dxa" w:w="67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Accueil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Nouvelle partie, reprendre une partie, historique, règles, paramètres.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Configuration</w:t>
            </w:r>
          </w:p>
        </w:tc>
        <w:tc>
          <w:tcPr>
            <w:tcW w:type="dxa" w:w="6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Choix du jeu, ajout des joueurs, sélection des variantes.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Enchères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Saisie des prédictions (mode blind ou séquentiel). Affichage numéro de manche et nombre de cartes.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Résultats de manche</w:t>
            </w:r>
          </w:p>
        </w:tc>
        <w:tc>
          <w:tcPr>
            <w:tcW w:type="dxa" w:w="6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Saisie des plis réalisés et des bonus. Validation avec contrôle de cohérence (somme des plis ≤ nombre de cartes).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Tableau des scores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Vue synthétique avec classement, graphique d’évolution, détail par manche. Vue portrait (compact) et paysage (complet).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Fin de partie</w:t>
            </w:r>
          </w:p>
        </w:tc>
        <w:tc>
          <w:tcPr>
            <w:tcW w:type="dxa" w:w="6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Podium animé, récapitulatif, statistiques clés de la partie, option de partage.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Profil joueur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Statistiques personnelles, historique des parties, avatar.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Règles</w:t>
            </w:r>
          </w:p>
        </w:tc>
        <w:tc>
          <w:tcPr>
            <w:tcW w:type="dxa" w:w="6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Navigation par section, recherche, illustrations.</w:t>
            </w:r>
          </w:p>
        </w:tc>
      </w:tr>
    </w:tbl>
    <w:p>
      <w:pPr>
        <w:spacing w:after="200"/>
      </w:pPr>
    </w:p>
    <w:p>
      <w:pPr>
        <w:pStyle w:val="Heading2"/>
        <w:spacing w:before="280" w:after="160"/>
      </w:pPr>
      <w:r>
        <w:rPr>
          <w:rFonts w:ascii="Arial" w:cs="Arial" w:eastAsia="Arial" w:hAnsi="Arial"/>
          <w:b/>
          <w:bCs/>
          <w:color w:val="3A7CA5"/>
          <w:sz w:val="26"/>
          <w:szCs w:val="26"/>
        </w:rPr>
        <w:t xml:space="preserve">5.3 Charte graphique indicative</w:t>
      </w:r>
    </w:p>
    <w:p>
      <w:pPr>
        <w:pStyle w:val="ListParagraph"/>
        <w:numPr>
          <w:ilvl w:val="0"/>
          <w:numId w:val="2"/>
        </w:numPr>
        <w:spacing w:after="60"/>
      </w:pPr>
      <w:r>
        <w:rPr>
          <w:rFonts w:ascii="Arial" w:cs="Arial" w:eastAsia="Arial" w:hAnsi="Arial"/>
          <w:sz w:val="20"/>
          <w:szCs w:val="20"/>
        </w:rPr>
        <w:t xml:space="preserve">Palette principale : bleu marine profond, or, rouge orangé (univers pirate).</w:t>
      </w:r>
    </w:p>
    <w:p>
      <w:pPr>
        <w:pStyle w:val="ListParagraph"/>
        <w:numPr>
          <w:ilvl w:val="0"/>
          <w:numId w:val="2"/>
        </w:numPr>
        <w:spacing w:after="60"/>
      </w:pPr>
      <w:r>
        <w:rPr>
          <w:rFonts w:ascii="Arial" w:cs="Arial" w:eastAsia="Arial" w:hAnsi="Arial"/>
          <w:sz w:val="20"/>
          <w:szCs w:val="20"/>
        </w:rPr>
        <w:t xml:space="preserve">Typographie : police sans-serif lisible (ex. : Inter, Nunito) pour l’interface ; police décorative pour les titres thématiques.</w:t>
      </w:r>
    </w:p>
    <w:p>
      <w:pPr>
        <w:pStyle w:val="ListParagraph"/>
        <w:numPr>
          <w:ilvl w:val="0"/>
          <w:numId w:val="2"/>
        </w:numPr>
        <w:spacing w:after="60"/>
      </w:pPr>
      <w:r>
        <w:rPr>
          <w:rFonts w:ascii="Arial" w:cs="Arial" w:eastAsia="Arial" w:hAnsi="Arial"/>
          <w:sz w:val="20"/>
          <w:szCs w:val="20"/>
        </w:rPr>
        <w:t xml:space="preserve">Iconographie : icônes personnalisées représentant les éléments du jeu (tête de mort, pirate, sirène, coffre).</w:t>
      </w:r>
    </w:p>
    <w:p>
      <w:pPr>
        <w:pStyle w:val="ListParagraph"/>
        <w:numPr>
          <w:ilvl w:val="0"/>
          <w:numId w:val="2"/>
        </w:numPr>
        <w:spacing w:after="60"/>
      </w:pPr>
      <w:r>
        <w:rPr>
          <w:rFonts w:ascii="Arial" w:cs="Arial" w:eastAsia="Arial" w:hAnsi="Arial"/>
          <w:sz w:val="20"/>
          <w:szCs w:val="20"/>
        </w:rPr>
        <w:t xml:space="preserve">Micro-animations : transitions douces entre les écrans, feedback haptique sur validation.</w:t>
      </w:r>
    </w:p>
    <w:p>
      <w:pPr>
        <w:spacing w:after="120"/>
      </w:pPr>
    </w:p>
    <w:p>
      <w:pPr>
        <w:pBdr>
          <w:bottom w:val="single" w:color="3A7CA5" w:sz="4" w:space="1"/>
        </w:pBdr>
        <w:spacing w:before="200" w:after="200"/>
      </w:pPr>
    </w:p>
    <w:p>
      <w:r>
        <w:br w:type="page"/>
      </w:r>
    </w:p>
    <w:p>
      <w:pPr>
        <w:pStyle w:val="Heading1"/>
        <w:spacing w:before="360" w:after="200"/>
      </w:pPr>
      <w:r>
        <w:rPr>
          <w:rFonts w:ascii="Arial" w:cs="Arial" w:eastAsia="Arial" w:hAnsi="Arial"/>
          <w:b/>
          <w:bCs/>
          <w:color w:val="2B4C7E"/>
          <w:sz w:val="32"/>
          <w:szCs w:val="32"/>
        </w:rPr>
        <w:t xml:space="preserve">6. Roadmap et livrables</w:t>
      </w:r>
    </w:p>
    <w:p>
      <w:pPr>
        <w:pStyle w:val="Heading2"/>
        <w:spacing w:before="280" w:after="160"/>
      </w:pPr>
      <w:r>
        <w:rPr>
          <w:rFonts w:ascii="Arial" w:cs="Arial" w:eastAsia="Arial" w:hAnsi="Arial"/>
          <w:b/>
          <w:bCs/>
          <w:color w:val="3A7CA5"/>
          <w:sz w:val="26"/>
          <w:szCs w:val="26"/>
        </w:rPr>
        <w:t xml:space="preserve">6.1 Phases de développement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600"/>
        <w:gridCol w:w="2160"/>
      </w:tblGrid>
      <w:tr>
        <w:tc>
          <w:tcPr>
            <w:tcW w:type="dxa" w:w="1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Nom</w:t>
            </w:r>
          </w:p>
        </w:tc>
        <w:tc>
          <w:tcPr>
            <w:tcW w:type="dxa" w:w="36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c>
          <w:tcPr>
            <w:tcW w:type="dxa" w:w="21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 estimée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MVP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Scoring Skull King, saisie manuelle, historique local, règles de base.</w:t>
            </w:r>
          </w:p>
        </w:tc>
        <w:tc>
          <w:tcPr>
            <w:tcW w:type="dxa" w:w="2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 à 10 semaines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Enrichissement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Graphiques de score, profils joueurs, mode blind local (BLE), variantes de règles.</w:t>
            </w:r>
          </w:p>
        </w:tc>
        <w:tc>
          <w:tcPr>
            <w:tcW w:type="dxa" w:w="2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 à 8 semaines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Social &amp; Cloud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Backend cloud, synchronisation, classements, partage social, notifications.</w:t>
            </w:r>
          </w:p>
        </w:tc>
        <w:tc>
          <w:tcPr>
            <w:tcW w:type="dxa" w:w="2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 à 8 semaines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Multi-jeux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Architecture plugin stabilisée, ajout d’un 2e jeu, marketplace de plugins.</w:t>
            </w:r>
          </w:p>
        </w:tc>
        <w:tc>
          <w:tcPr>
            <w:tcW w:type="dxa" w:w="2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 à 10 semaines</w:t>
            </w:r>
          </w:p>
        </w:tc>
      </w:tr>
    </w:tbl>
    <w:p>
      <w:pPr>
        <w:spacing w:after="200"/>
      </w:pPr>
    </w:p>
    <w:p>
      <w:pPr>
        <w:pStyle w:val="Heading2"/>
        <w:spacing w:before="280" w:after="160"/>
      </w:pPr>
      <w:r>
        <w:rPr>
          <w:rFonts w:ascii="Arial" w:cs="Arial" w:eastAsia="Arial" w:hAnsi="Arial"/>
          <w:b/>
          <w:bCs/>
          <w:color w:val="3A7CA5"/>
          <w:sz w:val="26"/>
          <w:szCs w:val="26"/>
        </w:rPr>
        <w:t xml:space="preserve">6.2 Livrables par phase</w:t>
      </w:r>
    </w:p>
    <w:p>
      <w:pPr>
        <w:spacing w:before="200" w:after="120"/>
      </w:pPr>
      <w:r>
        <w:rPr>
          <w:rFonts w:ascii="Arial" w:cs="Arial" w:eastAsia="Arial" w:hAnsi="Arial"/>
          <w:b/>
          <w:bCs/>
          <w:color w:val="2B4C7E"/>
          <w:sz w:val="22"/>
          <w:szCs w:val="22"/>
        </w:rPr>
        <w:t xml:space="preserve">Phase 1 — MVP</w:t>
      </w:r>
    </w:p>
    <w:p>
      <w:pPr>
        <w:pStyle w:val="ListParagraph"/>
        <w:numPr>
          <w:ilvl w:val="0"/>
          <w:numId w:val="4"/>
        </w:numPr>
        <w:spacing w:after="60"/>
      </w:pPr>
      <w:r>
        <w:rPr>
          <w:rFonts w:ascii="Arial" w:cs="Arial" w:eastAsia="Arial" w:hAnsi="Arial"/>
          <w:sz w:val="20"/>
          <w:szCs w:val="20"/>
        </w:rPr>
        <w:t xml:space="preserve">Application iOS et Android fonctionnelle avec scoring Skull King complet.</w:t>
      </w:r>
    </w:p>
    <w:p>
      <w:pPr>
        <w:pStyle w:val="ListParagraph"/>
        <w:numPr>
          <w:ilvl w:val="0"/>
          <w:numId w:val="4"/>
        </w:numPr>
        <w:spacing w:after="60"/>
      </w:pPr>
      <w:r>
        <w:rPr>
          <w:rFonts w:ascii="Arial" w:cs="Arial" w:eastAsia="Arial" w:hAnsi="Arial"/>
          <w:sz w:val="20"/>
          <w:szCs w:val="20"/>
        </w:rPr>
        <w:t xml:space="preserve">Tests unitaires du moteur de scoring (couverture ≥ 90 %).</w:t>
      </w:r>
    </w:p>
    <w:p>
      <w:pPr>
        <w:pStyle w:val="ListParagraph"/>
        <w:numPr>
          <w:ilvl w:val="0"/>
          <w:numId w:val="4"/>
        </w:numPr>
        <w:spacing w:after="60"/>
      </w:pPr>
      <w:r>
        <w:rPr>
          <w:rFonts w:ascii="Arial" w:cs="Arial" w:eastAsia="Arial" w:hAnsi="Arial"/>
          <w:sz w:val="20"/>
          <w:szCs w:val="20"/>
        </w:rPr>
        <w:t xml:space="preserve">Documentation utilisateur intégrée (règles in-app).</w:t>
      </w:r>
    </w:p>
    <w:p>
      <w:pPr>
        <w:pStyle w:val="ListParagraph"/>
        <w:numPr>
          <w:ilvl w:val="0"/>
          <w:numId w:val="4"/>
        </w:numPr>
        <w:spacing w:after="60"/>
      </w:pPr>
      <w:r>
        <w:rPr>
          <w:rFonts w:ascii="Arial" w:cs="Arial" w:eastAsia="Arial" w:hAnsi="Arial"/>
          <w:sz w:val="20"/>
          <w:szCs w:val="20"/>
        </w:rPr>
        <w:t xml:space="preserve">Build de démo distribuée via TestFlight / Internal Testing.</w:t>
      </w:r>
    </w:p>
    <w:p>
      <w:pPr>
        <w:spacing w:after="120"/>
      </w:pPr>
    </w:p>
    <w:p>
      <w:pPr>
        <w:spacing w:before="200" w:after="120"/>
      </w:pPr>
      <w:r>
        <w:rPr>
          <w:rFonts w:ascii="Arial" w:cs="Arial" w:eastAsia="Arial" w:hAnsi="Arial"/>
          <w:b/>
          <w:bCs/>
          <w:color w:val="2B4C7E"/>
          <w:sz w:val="22"/>
          <w:szCs w:val="22"/>
        </w:rPr>
        <w:t xml:space="preserve">Phase 2 — Enrichissement</w:t>
      </w:r>
    </w:p>
    <w:p>
      <w:pPr>
        <w:pStyle w:val="ListParagraph"/>
        <w:numPr>
          <w:ilvl w:val="0"/>
          <w:numId w:val="5"/>
        </w:numPr>
        <w:spacing w:after="60"/>
      </w:pPr>
      <w:r>
        <w:rPr>
          <w:rFonts w:ascii="Arial" w:cs="Arial" w:eastAsia="Arial" w:hAnsi="Arial"/>
          <w:sz w:val="20"/>
          <w:szCs w:val="20"/>
        </w:rPr>
        <w:t xml:space="preserve">Module statistiques et graphiques.</w:t>
      </w:r>
    </w:p>
    <w:p>
      <w:pPr>
        <w:pStyle w:val="ListParagraph"/>
        <w:numPr>
          <w:ilvl w:val="0"/>
          <w:numId w:val="5"/>
        </w:numPr>
        <w:spacing w:after="60"/>
      </w:pPr>
      <w:r>
        <w:rPr>
          <w:rFonts w:ascii="Arial" w:cs="Arial" w:eastAsia="Arial" w:hAnsi="Arial"/>
          <w:sz w:val="20"/>
          <w:szCs w:val="20"/>
        </w:rPr>
        <w:t xml:space="preserve">Gestion des profils joueurs avec avatars.</w:t>
      </w:r>
    </w:p>
    <w:p>
      <w:pPr>
        <w:pStyle w:val="ListParagraph"/>
        <w:numPr>
          <w:ilvl w:val="0"/>
          <w:numId w:val="5"/>
        </w:numPr>
        <w:spacing w:after="60"/>
      </w:pPr>
      <w:r>
        <w:rPr>
          <w:rFonts w:ascii="Arial" w:cs="Arial" w:eastAsia="Arial" w:hAnsi="Arial"/>
          <w:sz w:val="20"/>
          <w:szCs w:val="20"/>
        </w:rPr>
        <w:t xml:space="preserve">Mode blind multijoueur local.</w:t>
      </w:r>
    </w:p>
    <w:p>
      <w:pPr>
        <w:pStyle w:val="ListParagraph"/>
        <w:numPr>
          <w:ilvl w:val="0"/>
          <w:numId w:val="5"/>
        </w:numPr>
        <w:spacing w:after="60"/>
      </w:pPr>
      <w:r>
        <w:rPr>
          <w:rFonts w:ascii="Arial" w:cs="Arial" w:eastAsia="Arial" w:hAnsi="Arial"/>
          <w:sz w:val="20"/>
          <w:szCs w:val="20"/>
        </w:rPr>
        <w:t xml:space="preserve">Tests d’intégration et tests utilisateurs (recueil de feedback).</w:t>
      </w:r>
    </w:p>
    <w:p>
      <w:pPr>
        <w:spacing w:after="120"/>
      </w:pPr>
    </w:p>
    <w:p>
      <w:pPr>
        <w:pBdr>
          <w:bottom w:val="single" w:color="3A7CA5" w:sz="4" w:space="1"/>
        </w:pBdr>
        <w:spacing w:before="200" w:after="200"/>
      </w:pPr>
    </w:p>
    <w:p>
      <w:r>
        <w:br w:type="page"/>
      </w:r>
    </w:p>
    <w:p>
      <w:pPr>
        <w:pStyle w:val="Heading1"/>
        <w:spacing w:before="360" w:after="200"/>
      </w:pPr>
      <w:r>
        <w:rPr>
          <w:rFonts w:ascii="Arial" w:cs="Arial" w:eastAsia="Arial" w:hAnsi="Arial"/>
          <w:b/>
          <w:bCs/>
          <w:color w:val="2B4C7E"/>
          <w:sz w:val="32"/>
          <w:szCs w:val="32"/>
        </w:rPr>
        <w:t xml:space="preserve">7. Estimation budgétaire et ressources</w:t>
      </w:r>
    </w:p>
    <w:p>
      <w:pPr>
        <w:spacing w:after="120"/>
        <w:jc w:val="both"/>
      </w:pPr>
      <w:r>
        <w:rPr>
          <w:rFonts w:ascii="Arial" w:cs="Arial" w:eastAsia="Arial" w:hAnsi="Arial"/>
          <w:sz w:val="20"/>
          <w:szCs w:val="20"/>
        </w:rPr>
        <w:t xml:space="preserve">Les estimations ci-dessous sont indicatives et dépendent fortement du choix de prestataire (freelance, agence, équipe interne) et de la localisation géographique.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Poste</w:t>
            </w:r>
          </w:p>
        </w:tc>
        <w:tc>
          <w:tcPr>
            <w:tcW w:type="dxa" w:w="208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w:t>
            </w:r>
          </w:p>
        </w:tc>
        <w:tc>
          <w:tcPr>
            <w:tcW w:type="dxa" w:w="208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Charge (j/h)</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Coût indicatif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Développement mobile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Dév. senior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50–70 jours</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25 – 45 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Backend &amp; infra cloud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Dév. fullstack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20–30 jours</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 – 20 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UX/UI Design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Designer produit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15–25 jours</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 – 15 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QA &amp; tests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Testeur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10–15 jours</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 – 10 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Gestion de projet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Chef de projet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15–20 jours</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 – 12 k€</w:t>
            </w:r>
          </w:p>
        </w:tc>
      </w:tr>
      <w:tr>
        <w:tc>
          <w:tcPr>
            <w:tcW w:type="dxa" w:w="3200"/>
            <w:tcBorders>
              <w:top w:val="single" w:color="CCCCCC" w:sz="1"/>
              <w:left w:val="single" w:color="CCCCCC" w:sz="1"/>
              <w:bottom w:val="single" w:color="CCCCCC" w:sz="1"/>
              <w:right w:val="single" w:color="CCCCCC" w:sz="1"/>
            </w:tcBorders>
            <w:shd w:fill="D1DCE8" w:val="clear"/>
            <w:tcMar>
              <w:top w:type="dxa" w:w="80"/>
              <w:left w:type="dxa" w:w="120"/>
              <w:bottom w:type="dxa" w:w="80"/>
              <w:right w:type="dxa" w:w="120"/>
            </w:tcMar>
          </w:tcPr>
          <w:p>
            <w:r>
              <w:rPr>
                <w:rFonts w:ascii="Arial" w:cs="Arial" w:eastAsia="Arial" w:hAnsi="Arial"/>
                <w:b/>
                <w:bCs/>
                <w:color w:val="2B4C7E"/>
                <w:sz w:val="20"/>
                <w:szCs w:val="20"/>
              </w:rPr>
              <w:t xml:space="preserve">TOTAL ESTIMÉ (4 phases)</w:t>
            </w:r>
          </w:p>
        </w:tc>
        <w:tc>
          <w:tcPr>
            <w:tcW w:type="dxa" w:w="2080"/>
            <w:tcBorders>
              <w:top w:val="single" w:color="CCCCCC" w:sz="1"/>
              <w:left w:val="single" w:color="CCCCCC" w:sz="1"/>
              <w:bottom w:val="single" w:color="CCCCCC" w:sz="1"/>
              <w:right w:val="single" w:color="CCCCCC" w:sz="1"/>
            </w:tcBorders>
            <w:shd w:fill="D1DCE8" w:val="clear"/>
            <w:tcMar>
              <w:top w:type="dxa" w:w="80"/>
              <w:left w:type="dxa" w:w="120"/>
              <w:bottom w:type="dxa" w:w="80"/>
              <w:right w:type="dxa" w:w="120"/>
            </w:tcMar>
          </w:tcPr>
          <w:p>
            <w:r>
              <w:rPr>
                <w:rFonts w:ascii="Arial" w:cs="Arial" w:eastAsia="Arial" w:hAnsi="Arial"/>
                <w:sz w:val="20"/>
                <w:szCs w:val="20"/>
              </w:rPr>
              <w:t xml:space="preserve">—</w:t>
            </w:r>
          </w:p>
        </w:tc>
        <w:tc>
          <w:tcPr>
            <w:tcW w:type="dxa" w:w="2080"/>
            <w:tcBorders>
              <w:top w:val="single" w:color="CCCCCC" w:sz="1"/>
              <w:left w:val="single" w:color="CCCCCC" w:sz="1"/>
              <w:bottom w:val="single" w:color="CCCCCC" w:sz="1"/>
              <w:right w:val="single" w:color="CCCCCC" w:sz="1"/>
            </w:tcBorders>
            <w:shd w:fill="D1DCE8" w:val="clear"/>
            <w:tcMar>
              <w:top w:type="dxa" w:w="80"/>
              <w:left w:type="dxa" w:w="120"/>
              <w:bottom w:type="dxa" w:w="80"/>
              <w:right w:type="dxa" w:w="120"/>
            </w:tcMar>
          </w:tcPr>
          <w:p>
            <w:r>
              <w:rPr>
                <w:rFonts w:ascii="Arial" w:cs="Arial" w:eastAsia="Arial" w:hAnsi="Arial"/>
                <w:b/>
                <w:bCs/>
                <w:sz w:val="20"/>
                <w:szCs w:val="20"/>
              </w:rPr>
              <w:t xml:space="preserve">110–160 jours</w:t>
            </w:r>
          </w:p>
        </w:tc>
        <w:tc>
          <w:tcPr>
            <w:tcW w:type="dxa" w:w="2000"/>
            <w:tcBorders>
              <w:top w:val="single" w:color="CCCCCC" w:sz="1"/>
              <w:left w:val="single" w:color="CCCCCC" w:sz="1"/>
              <w:bottom w:val="single" w:color="CCCCCC" w:sz="1"/>
              <w:right w:val="single" w:color="CCCCCC" w:sz="1"/>
            </w:tcBorders>
            <w:shd w:fill="D1DCE8" w:val="clear"/>
            <w:tcMar>
              <w:top w:type="dxa" w:w="80"/>
              <w:left w:type="dxa" w:w="120"/>
              <w:bottom w:type="dxa" w:w="80"/>
              <w:right w:type="dxa" w:w="120"/>
            </w:tcMar>
          </w:tcPr>
          <w:p>
            <w:r>
              <w:rPr>
                <w:rFonts w:ascii="Arial" w:cs="Arial" w:eastAsia="Arial" w:hAnsi="Arial"/>
                <w:b/>
                <w:bCs/>
                <w:color w:val="E85D26"/>
                <w:sz w:val="20"/>
                <w:szCs w:val="20"/>
              </w:rPr>
              <w:t xml:space="preserve">56 – 102 k€</w:t>
            </w:r>
          </w:p>
        </w:tc>
      </w:tr>
    </w:tbl>
    <w:p>
      <w:pPr>
        <w:spacing w:after="200"/>
      </w:pPr>
    </w:p>
    <w:p>
      <w:pPr>
        <w:pStyle w:val="Heading2"/>
        <w:spacing w:before="280" w:after="160"/>
      </w:pPr>
      <w:r>
        <w:rPr>
          <w:rFonts w:ascii="Arial" w:cs="Arial" w:eastAsia="Arial" w:hAnsi="Arial"/>
          <w:b/>
          <w:bCs/>
          <w:color w:val="3A7CA5"/>
          <w:sz w:val="26"/>
          <w:szCs w:val="26"/>
        </w:rPr>
        <w:t xml:space="preserve">7.2 Coûts récurrents</w:t>
      </w:r>
    </w:p>
    <w:p>
      <w:pPr>
        <w:pStyle w:val="ListParagraph"/>
        <w:numPr>
          <w:ilvl w:val="0"/>
          <w:numId w:val="2"/>
        </w:numPr>
        <w:spacing w:after="60"/>
      </w:pPr>
      <w:r>
        <w:rPr>
          <w:rFonts w:ascii="Arial" w:cs="Arial" w:eastAsia="Arial" w:hAnsi="Arial"/>
          <w:sz w:val="20"/>
          <w:szCs w:val="20"/>
        </w:rPr>
        <w:t xml:space="preserve">Hébergement cloud (Supabase/Firebase) : 0 – 100 €/mois selon le volume d’utilisateurs.</w:t>
      </w:r>
    </w:p>
    <w:p>
      <w:pPr>
        <w:pStyle w:val="ListParagraph"/>
        <w:numPr>
          <w:ilvl w:val="0"/>
          <w:numId w:val="2"/>
        </w:numPr>
        <w:spacing w:after="60"/>
      </w:pPr>
      <w:r>
        <w:rPr>
          <w:rFonts w:ascii="Arial" w:cs="Arial" w:eastAsia="Arial" w:hAnsi="Arial"/>
          <w:sz w:val="20"/>
          <w:szCs w:val="20"/>
        </w:rPr>
        <w:t xml:space="preserve">Comptes développeur App Store (99 $/an) et Google Play (25 $ unique).</w:t>
      </w:r>
    </w:p>
    <w:p>
      <w:pPr>
        <w:pStyle w:val="ListParagraph"/>
        <w:numPr>
          <w:ilvl w:val="0"/>
          <w:numId w:val="2"/>
        </w:numPr>
        <w:spacing w:after="60"/>
      </w:pPr>
      <w:r>
        <w:rPr>
          <w:rFonts w:ascii="Arial" w:cs="Arial" w:eastAsia="Arial" w:hAnsi="Arial"/>
          <w:sz w:val="20"/>
          <w:szCs w:val="20"/>
        </w:rPr>
        <w:t xml:space="preserve">Maintenance corrective et évolutive : 2 à 5 jours/mois selon la phase.</w:t>
      </w:r>
    </w:p>
    <w:p>
      <w:pPr>
        <w:spacing w:after="120"/>
      </w:pPr>
    </w:p>
    <w:p>
      <w:pPr>
        <w:pBdr>
          <w:bottom w:val="single" w:color="3A7CA5" w:sz="4" w:space="1"/>
        </w:pBdr>
        <w:spacing w:before="200" w:after="200"/>
      </w:pPr>
    </w:p>
    <w:p>
      <w:r>
        <w:br w:type="page"/>
      </w:r>
    </w:p>
    <w:p>
      <w:pPr>
        <w:pStyle w:val="Heading1"/>
        <w:spacing w:before="360" w:after="200"/>
      </w:pPr>
      <w:r>
        <w:rPr>
          <w:rFonts w:ascii="Arial" w:cs="Arial" w:eastAsia="Arial" w:hAnsi="Arial"/>
          <w:b/>
          <w:bCs/>
          <w:color w:val="2B4C7E"/>
          <w:sz w:val="32"/>
          <w:szCs w:val="32"/>
        </w:rPr>
        <w:t xml:space="preserve">8. Risques et mesures d’atténuation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Risque</w:t>
            </w:r>
          </w:p>
        </w:tc>
        <w:tc>
          <w:tcPr>
            <w:tcW w:type="dxa" w:w="14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3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vAlign w:val="center"/>
          </w:tcPr>
          <w:p>
            <w:r>
              <w:rPr>
                <w:rFonts w:ascii="Arial" w:cs="Arial" w:eastAsia="Arial" w:hAnsi="Arial"/>
                <w:b/>
                <w:bCs/>
                <w:color w:val="FFFFFF"/>
                <w:sz w:val="20"/>
                <w:szCs w:val="20"/>
              </w:rPr>
              <w:t xml:space="preserve">Mesure d’atténuation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Propriété intellectuelle (règles, visuels du jeu original)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Élevé</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Vérifier les licences, contacter l’éditeur (Grandpa Beck’s Games), reformuler les règles, utiliser des visuels originaux.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Complexité du moteur de scoring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8800"/>
                <w:sz w:val="20"/>
                <w:szCs w:val="20"/>
              </w:rPr>
              <w:t xml:space="preserve">Moyen</w:t>
            </w:r>
          </w:p>
        </w:tc>
        <w:tc>
          <w:tcPr>
            <w:tcW w:type="dxa" w:w="5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Couverture de tests exhaustive avec cas limites, validation par des joueurs expérimentés.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Adoption utilisateur faible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8800"/>
                <w:sz w:val="20"/>
                <w:szCs w:val="20"/>
              </w:rPr>
              <w:t xml:space="preserve">Moyen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MVP rapide, tests utilisateurs dès la phase 1, itérations basées sur le feedback.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Fiabilité du mode BLE local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8800"/>
                <w:sz w:val="20"/>
                <w:szCs w:val="20"/>
              </w:rPr>
              <w:t xml:space="preserve">Moyen</w:t>
            </w:r>
          </w:p>
        </w:tc>
        <w:tc>
          <w:tcPr>
            <w:tcW w:type="dxa" w:w="5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Prévoir un mode de saisie alternatif (partage d’écran ou saisie séquentielle de secours).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Fragmentation Android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28B22"/>
                <w:sz w:val="20"/>
                <w:szCs w:val="20"/>
              </w:rPr>
              <w:t xml:space="preserve">Faible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Utiliser un framework cross-platform éprouvé, tester sur une matrice d’appareils.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Scalabilité multi-jeux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C8800"/>
                <w:sz w:val="20"/>
                <w:szCs w:val="20"/>
              </w:rPr>
              <w:t xml:space="preserve">Moyen</w:t>
            </w:r>
          </w:p>
        </w:tc>
        <w:tc>
          <w:tcPr>
            <w:tcW w:type="dxa" w:w="53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Définir l’interface plugin dès la phase 1, valider avec un 2e jeu en phase 2.</w:t>
            </w:r>
          </w:p>
        </w:tc>
      </w:tr>
    </w:tbl>
    <w:p>
      <w:pPr>
        <w:spacing w:after="200"/>
      </w:pPr>
    </w:p>
    <w:p>
      <w:pPr>
        <w:pBdr>
          <w:bottom w:val="single" w:color="3A7CA5" w:sz="4" w:space="1"/>
        </w:pBdr>
        <w:spacing w:before="200" w:after="200"/>
      </w:pPr>
    </w:p>
    <w:p>
      <w:r>
        <w:br w:type="page"/>
      </w:r>
    </w:p>
    <w:p>
      <w:pPr>
        <w:pStyle w:val="Heading1"/>
        <w:spacing w:before="360" w:after="200"/>
      </w:pPr>
      <w:r>
        <w:rPr>
          <w:rFonts w:ascii="Arial" w:cs="Arial" w:eastAsia="Arial" w:hAnsi="Arial"/>
          <w:b/>
          <w:bCs/>
          <w:color w:val="2B4C7E"/>
          <w:sz w:val="32"/>
          <w:szCs w:val="32"/>
        </w:rPr>
        <w:t xml:space="preserve">9. Critères de succès</w:t>
      </w:r>
    </w:p>
    <w:p>
      <w:pPr>
        <w:pStyle w:val="Heading2"/>
        <w:spacing w:before="280" w:after="160"/>
      </w:pPr>
      <w:r>
        <w:rPr>
          <w:rFonts w:ascii="Arial" w:cs="Arial" w:eastAsia="Arial" w:hAnsi="Arial"/>
          <w:b/>
          <w:bCs/>
          <w:color w:val="3A7CA5"/>
          <w:sz w:val="26"/>
          <w:szCs w:val="26"/>
        </w:rPr>
        <w:t xml:space="preserve">9.1 KPIs quantitatifs</w:t>
      </w:r>
    </w:p>
    <w:p>
      <w:pPr>
        <w:pStyle w:val="ListParagraph"/>
        <w:numPr>
          <w:ilvl w:val="0"/>
          <w:numId w:val="2"/>
        </w:numPr>
        <w:spacing w:after="60"/>
      </w:pPr>
      <w:r>
        <w:rPr>
          <w:rFonts w:ascii="Arial" w:cs="Arial" w:eastAsia="Arial" w:hAnsi="Arial"/>
          <w:sz w:val="20"/>
          <w:szCs w:val="20"/>
        </w:rPr>
        <w:t xml:space="preserve">Note moyenne ≥ 4,5/5 sur les stores après 3 mois de disponibilité.</w:t>
      </w:r>
    </w:p>
    <w:p>
      <w:pPr>
        <w:pStyle w:val="ListParagraph"/>
        <w:numPr>
          <w:ilvl w:val="0"/>
          <w:numId w:val="2"/>
        </w:numPr>
        <w:spacing w:after="60"/>
      </w:pPr>
      <w:r>
        <w:rPr>
          <w:rFonts w:ascii="Arial" w:cs="Arial" w:eastAsia="Arial" w:hAnsi="Arial"/>
          <w:sz w:val="20"/>
          <w:szCs w:val="20"/>
        </w:rPr>
        <w:t xml:space="preserve">Taux de rétention J30 ≥ 40 % (les joueurs reviennent au moins une fois par mois).</w:t>
      </w:r>
    </w:p>
    <w:p>
      <w:pPr>
        <w:pStyle w:val="ListParagraph"/>
        <w:numPr>
          <w:ilvl w:val="0"/>
          <w:numId w:val="2"/>
        </w:numPr>
        <w:spacing w:after="60"/>
      </w:pPr>
      <w:r>
        <w:rPr>
          <w:rFonts w:ascii="Arial" w:cs="Arial" w:eastAsia="Arial" w:hAnsi="Arial"/>
          <w:sz w:val="20"/>
          <w:szCs w:val="20"/>
        </w:rPr>
        <w:t xml:space="preserve">Temps moyen de saisie des résultats d’une manche : &lt; 15 secondes.</w:t>
      </w:r>
    </w:p>
    <w:p>
      <w:pPr>
        <w:pStyle w:val="ListParagraph"/>
        <w:numPr>
          <w:ilvl w:val="0"/>
          <w:numId w:val="2"/>
        </w:numPr>
        <w:spacing w:after="60"/>
      </w:pPr>
      <w:r>
        <w:rPr>
          <w:rFonts w:ascii="Arial" w:cs="Arial" w:eastAsia="Arial" w:hAnsi="Arial"/>
          <w:sz w:val="20"/>
          <w:szCs w:val="20"/>
        </w:rPr>
        <w:t xml:space="preserve">Zéro erreur de calcul de score signalée en production.</w:t>
      </w:r>
    </w:p>
    <w:p>
      <w:pPr>
        <w:spacing w:after="120"/>
      </w:pPr>
    </w:p>
    <w:p>
      <w:pPr>
        <w:pStyle w:val="Heading2"/>
        <w:spacing w:before="280" w:after="160"/>
      </w:pPr>
      <w:r>
        <w:rPr>
          <w:rFonts w:ascii="Arial" w:cs="Arial" w:eastAsia="Arial" w:hAnsi="Arial"/>
          <w:b/>
          <w:bCs/>
          <w:color w:val="3A7CA5"/>
          <w:sz w:val="26"/>
          <w:szCs w:val="26"/>
        </w:rPr>
        <w:t xml:space="preserve">9.2 KPIs qualitatifs</w:t>
      </w:r>
    </w:p>
    <w:p>
      <w:pPr>
        <w:pStyle w:val="ListParagraph"/>
        <w:numPr>
          <w:ilvl w:val="0"/>
          <w:numId w:val="2"/>
        </w:numPr>
        <w:spacing w:after="60"/>
      </w:pPr>
      <w:r>
        <w:rPr>
          <w:rFonts w:ascii="Arial" w:cs="Arial" w:eastAsia="Arial" w:hAnsi="Arial"/>
          <w:sz w:val="20"/>
          <w:szCs w:val="20"/>
        </w:rPr>
        <w:t xml:space="preserve">Feedback utilisateur positif sur la facilité de prise en main (tests utilisateurs phase 1).</w:t>
      </w:r>
    </w:p>
    <w:p>
      <w:pPr>
        <w:pStyle w:val="ListParagraph"/>
        <w:numPr>
          <w:ilvl w:val="0"/>
          <w:numId w:val="2"/>
        </w:numPr>
        <w:spacing w:after="60"/>
      </w:pPr>
      <w:r>
        <w:rPr>
          <w:rFonts w:ascii="Arial" w:cs="Arial" w:eastAsia="Arial" w:hAnsi="Arial"/>
          <w:sz w:val="20"/>
          <w:szCs w:val="20"/>
        </w:rPr>
        <w:t xml:space="preserve">Adoption par au moins 2 clubs ou communautés de jeux de société dans les 6 mois.</w:t>
      </w:r>
    </w:p>
    <w:p>
      <w:pPr>
        <w:pStyle w:val="ListParagraph"/>
        <w:numPr>
          <w:ilvl w:val="0"/>
          <w:numId w:val="2"/>
        </w:numPr>
        <w:spacing w:after="60"/>
      </w:pPr>
      <w:r>
        <w:rPr>
          <w:rFonts w:ascii="Arial" w:cs="Arial" w:eastAsia="Arial" w:hAnsi="Arial"/>
          <w:sz w:val="20"/>
          <w:szCs w:val="20"/>
        </w:rPr>
        <w:t xml:space="preserve">Capacité démontrée à intégrer un 2e jeu en moins de 2 semaines de développement.</w:t>
      </w:r>
    </w:p>
    <w:p>
      <w:pPr>
        <w:spacing w:after="120"/>
      </w:pPr>
    </w:p>
    <w:p>
      <w:pPr>
        <w:pBdr>
          <w:bottom w:val="single" w:color="3A7CA5" w:sz="4" w:space="1"/>
        </w:pBdr>
        <w:spacing w:before="200" w:after="200"/>
      </w:pPr>
    </w:p>
    <w:p>
      <w:pPr>
        <w:pStyle w:val="Heading1"/>
        <w:spacing w:before="360" w:after="200"/>
      </w:pPr>
      <w:r>
        <w:rPr>
          <w:rFonts w:ascii="Arial" w:cs="Arial" w:eastAsia="Arial" w:hAnsi="Arial"/>
          <w:b/>
          <w:bCs/>
          <w:color w:val="2B4C7E"/>
          <w:sz w:val="32"/>
          <w:szCs w:val="32"/>
        </w:rPr>
        <w:t xml:space="preserve">10. Annexes</w:t>
      </w:r>
    </w:p>
    <w:p>
      <w:pPr>
        <w:pStyle w:val="Heading2"/>
        <w:spacing w:before="280" w:after="160"/>
      </w:pPr>
      <w:r>
        <w:rPr>
          <w:rFonts w:ascii="Arial" w:cs="Arial" w:eastAsia="Arial" w:hAnsi="Arial"/>
          <w:b/>
          <w:bCs/>
          <w:color w:val="3A7CA5"/>
          <w:sz w:val="26"/>
          <w:szCs w:val="26"/>
        </w:rPr>
        <w:t xml:space="preserve">10.1 Règles de scoring Skull King (référence)</w:t>
      </w:r>
    </w:p>
    <w:p>
      <w:pPr>
        <w:spacing w:after="120"/>
        <w:jc w:val="both"/>
      </w:pPr>
      <w:r>
        <w:rPr>
          <w:rFonts w:ascii="Arial" w:cs="Arial" w:eastAsia="Arial" w:hAnsi="Arial"/>
          <w:sz w:val="20"/>
          <w:szCs w:val="20"/>
        </w:rPr>
        <w:t xml:space="preserve">Le moteur de scoring doit implémenter les règles suivantes :</w:t>
      </w:r>
    </w:p>
    <w:p>
      <w:pPr>
        <w:pStyle w:val="ListParagraph"/>
        <w:numPr>
          <w:ilvl w:val="0"/>
          <w:numId w:val="2"/>
        </w:numPr>
        <w:spacing w:after="60"/>
      </w:pPr>
      <w:r>
        <w:rPr>
          <w:rFonts w:ascii="Arial" w:cs="Arial" w:eastAsia="Arial" w:hAnsi="Arial"/>
          <w:sz w:val="20"/>
          <w:szCs w:val="20"/>
        </w:rPr>
        <w:t xml:space="preserve">Enchère correcte (&gt; 0) : +20 points par pli prédit, plus les bonus éventuels.</w:t>
      </w:r>
    </w:p>
    <w:p>
      <w:pPr>
        <w:pStyle w:val="ListParagraph"/>
        <w:numPr>
          <w:ilvl w:val="0"/>
          <w:numId w:val="2"/>
        </w:numPr>
        <w:spacing w:after="60"/>
      </w:pPr>
      <w:r>
        <w:rPr>
          <w:rFonts w:ascii="Arial" w:cs="Arial" w:eastAsia="Arial" w:hAnsi="Arial"/>
          <w:sz w:val="20"/>
          <w:szCs w:val="20"/>
        </w:rPr>
        <w:t xml:space="preserve">Enchère correcte (à 0) : + (numéro de manche × 10) points.</w:t>
      </w:r>
    </w:p>
    <w:p>
      <w:pPr>
        <w:pStyle w:val="ListParagraph"/>
        <w:numPr>
          <w:ilvl w:val="0"/>
          <w:numId w:val="2"/>
        </w:numPr>
        <w:spacing w:after="60"/>
      </w:pPr>
      <w:r>
        <w:rPr>
          <w:rFonts w:ascii="Arial" w:cs="Arial" w:eastAsia="Arial" w:hAnsi="Arial"/>
          <w:sz w:val="20"/>
          <w:szCs w:val="20"/>
        </w:rPr>
        <w:t xml:space="preserve">Enchère incorrecte : −10 points par différence entre prédiction et réalité (valeur absolue).</w:t>
      </w:r>
    </w:p>
    <w:p>
      <w:pPr>
        <w:pStyle w:val="ListParagraph"/>
        <w:numPr>
          <w:ilvl w:val="0"/>
          <w:numId w:val="2"/>
        </w:numPr>
        <w:spacing w:after="60"/>
      </w:pPr>
      <w:r>
        <w:rPr>
          <w:rFonts w:ascii="Arial" w:cs="Arial" w:eastAsia="Arial" w:hAnsi="Arial"/>
          <w:sz w:val="20"/>
          <w:szCs w:val="20"/>
        </w:rPr>
        <w:t xml:space="preserve">Bonus de capture : +30 pour capturer un pirate, +40 pour capturer une sirène avec le Skull King, +50 pour capturer le Skull King.</w:t>
      </w:r>
    </w:p>
    <w:p>
      <w:pPr>
        <w:pStyle w:val="ListParagraph"/>
        <w:numPr>
          <w:ilvl w:val="0"/>
          <w:numId w:val="2"/>
        </w:numPr>
        <w:spacing w:after="60"/>
      </w:pPr>
      <w:r>
        <w:rPr>
          <w:rFonts w:ascii="Arial" w:cs="Arial" w:eastAsia="Arial" w:hAnsi="Arial"/>
          <w:sz w:val="20"/>
          <w:szCs w:val="20"/>
        </w:rPr>
        <w:t xml:space="preserve">Variantes (Legendary Expansion) : bonus additionnels pour les cartes spéciales.</w:t>
      </w:r>
    </w:p>
    <w:p>
      <w:pPr>
        <w:spacing w:after="120"/>
      </w:pPr>
    </w:p>
    <w:p>
      <w:pPr>
        <w:pStyle w:val="Heading2"/>
        <w:spacing w:before="280" w:after="160"/>
      </w:pPr>
      <w:r>
        <w:rPr>
          <w:rFonts w:ascii="Arial" w:cs="Arial" w:eastAsia="Arial" w:hAnsi="Arial"/>
          <w:b/>
          <w:bCs/>
          <w:color w:val="3A7CA5"/>
          <w:sz w:val="26"/>
          <w:szCs w:val="26"/>
        </w:rPr>
        <w:t xml:space="preserve">10.2 Glossaire</w:t>
      </w:r>
    </w:p>
    <w:p>
      <w:pPr>
        <w:pStyle w:val="ListParagraph"/>
        <w:numPr>
          <w:ilvl w:val="0"/>
          <w:numId w:val="2"/>
        </w:numPr>
        <w:spacing w:after="60"/>
      </w:pPr>
      <w:r>
        <w:rPr>
          <w:rFonts w:ascii="Arial" w:cs="Arial" w:eastAsia="Arial" w:hAnsi="Arial"/>
          <w:sz w:val="20"/>
          <w:szCs w:val="20"/>
        </w:rPr>
        <w:t xml:space="preserve">Companion app : application mobile destinée à compléter l’expérience d’un jeu physique.</w:t>
      </w:r>
    </w:p>
    <w:p>
      <w:pPr>
        <w:pStyle w:val="ListParagraph"/>
        <w:numPr>
          <w:ilvl w:val="0"/>
          <w:numId w:val="2"/>
        </w:numPr>
        <w:spacing w:after="60"/>
      </w:pPr>
      <w:r>
        <w:rPr>
          <w:rFonts w:ascii="Arial" w:cs="Arial" w:eastAsia="Arial" w:hAnsi="Arial"/>
          <w:sz w:val="20"/>
          <w:szCs w:val="20"/>
        </w:rPr>
        <w:t xml:space="preserve">BLE : Bluetooth Low Energy, protocole de communication sans fil à faible consommation.</w:t>
      </w:r>
    </w:p>
    <w:p>
      <w:pPr>
        <w:pStyle w:val="ListParagraph"/>
        <w:numPr>
          <w:ilvl w:val="0"/>
          <w:numId w:val="2"/>
        </w:numPr>
        <w:spacing w:after="60"/>
      </w:pPr>
      <w:r>
        <w:rPr>
          <w:rFonts w:ascii="Arial" w:cs="Arial" w:eastAsia="Arial" w:hAnsi="Arial"/>
          <w:sz w:val="20"/>
          <w:szCs w:val="20"/>
        </w:rPr>
        <w:t xml:space="preserve">Mode blind : saisie simultanée et secrète des enchères, révélées en même temps.</w:t>
      </w:r>
    </w:p>
    <w:p>
      <w:pPr>
        <w:pStyle w:val="ListParagraph"/>
        <w:numPr>
          <w:ilvl w:val="0"/>
          <w:numId w:val="2"/>
        </w:numPr>
        <w:spacing w:after="60"/>
      </w:pPr>
      <w:r>
        <w:rPr>
          <w:rFonts w:ascii="Arial" w:cs="Arial" w:eastAsia="Arial" w:hAnsi="Arial"/>
          <w:sz w:val="20"/>
          <w:szCs w:val="20"/>
        </w:rPr>
        <w:t xml:space="preserve">Plugin : module logiciel encapsulant la logique et l’interface d’un jeu spécifique.</w:t>
      </w:r>
    </w:p>
    <w:p>
      <w:pPr>
        <w:pStyle w:val="ListParagraph"/>
        <w:numPr>
          <w:ilvl w:val="0"/>
          <w:numId w:val="2"/>
        </w:numPr>
        <w:spacing w:after="60"/>
      </w:pPr>
      <w:r>
        <w:rPr>
          <w:rFonts w:ascii="Arial" w:cs="Arial" w:eastAsia="Arial" w:hAnsi="Arial"/>
          <w:sz w:val="20"/>
          <w:szCs w:val="20"/>
        </w:rPr>
        <w:t xml:space="preserve">MVP : Minimum Viable Product, version minimale fonctionnelle du produit.</w:t>
      </w:r>
    </w:p>
    <w:p>
      <w:pPr>
        <w:pStyle w:val="ListParagraph"/>
        <w:numPr>
          <w:ilvl w:val="0"/>
          <w:numId w:val="2"/>
        </w:numPr>
        <w:spacing w:after="60"/>
      </w:pPr>
      <w:r>
        <w:rPr>
          <w:rFonts w:ascii="Arial" w:cs="Arial" w:eastAsia="Arial" w:hAnsi="Arial"/>
          <w:sz w:val="20"/>
          <w:szCs w:val="20"/>
        </w:rPr>
        <w:t xml:space="preserve">Cross-platform : approche de développement ciblant plusieurs systèmes d’exploitation depuis une base de code unique.</w:t>
      </w:r>
    </w:p>
    <w:p>
      <w:pPr>
        <w:spacing w:after="400"/>
      </w:pPr>
    </w:p>
    <w:p>
      <w:pPr>
        <w:pBdr>
          <w:bottom w:val="single" w:color="3A7CA5" w:sz="4" w:space="1"/>
        </w:pBdr>
        <w:spacing w:before="200" w:after="200"/>
      </w:pPr>
    </w:p>
    <w:p>
      <w:pPr>
        <w:spacing w:after="120"/>
      </w:pPr>
    </w:p>
    <w:p>
      <w:pPr>
        <w:jc w:val="center"/>
      </w:pPr>
      <w:r>
        <w:rPr>
          <w:rFonts w:ascii="Arial" w:cs="Arial" w:eastAsia="Arial" w:hAnsi="Arial"/>
          <w:i/>
          <w:iCs/>
          <w:color w:val="888888"/>
          <w:sz w:val="20"/>
          <w:szCs w:val="20"/>
        </w:rPr>
        <w:t xml:space="preserve">Fin du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7CA5" w:sz="2"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7CA5" w:sz="2" w:space="4"/>
      </w:pBdr>
    </w:pPr>
    <w:r>
      <w:rPr>
        <w:rFonts w:ascii="Arial" w:cs="Arial" w:eastAsia="Arial" w:hAnsi="Arial"/>
        <w:i/>
        <w:iCs/>
        <w:color w:val="888888"/>
        <w:sz w:val="16"/>
        <w:szCs w:val="16"/>
      </w:rPr>
      <w:t xml:space="preserve">Cahier des charges — App Companion Jeux de Société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4C7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A7C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2026-02-13T12:56:09.212Z</dcterms:created>
  <dcterms:modified xsi:type="dcterms:W3CDTF">2026-02-13T12:56:09.214Z</dcterms:modified>
</cp:coreProperties>
</file>

<file path=docProps/custom.xml><?xml version="1.0" encoding="utf-8"?>
<Properties xmlns="http://schemas.openxmlformats.org/officeDocument/2006/custom-properties" xmlns:vt="http://schemas.openxmlformats.org/officeDocument/2006/docPropsVTypes"/>
</file>