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2ACB1BF" w14:textId="6BB89102" w:rsidR="00CE50FC"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521390" w:history="1">
        <w:r w:rsidR="00CE50FC" w:rsidRPr="00773703">
          <w:rPr>
            <w:rStyle w:val="Hyperlink"/>
          </w:rPr>
          <w:t>Paveikslų sąrašas</w:t>
        </w:r>
        <w:r w:rsidR="00CE50FC">
          <w:rPr>
            <w:webHidden/>
          </w:rPr>
          <w:tab/>
        </w:r>
        <w:r w:rsidR="00CE50FC">
          <w:rPr>
            <w:webHidden/>
          </w:rPr>
          <w:fldChar w:fldCharType="begin"/>
        </w:r>
        <w:r w:rsidR="00CE50FC">
          <w:rPr>
            <w:webHidden/>
          </w:rPr>
          <w:instrText xml:space="preserve"> PAGEREF _Toc150521390 \h </w:instrText>
        </w:r>
        <w:r w:rsidR="00CE50FC">
          <w:rPr>
            <w:webHidden/>
          </w:rPr>
        </w:r>
        <w:r w:rsidR="00CE50FC">
          <w:rPr>
            <w:webHidden/>
          </w:rPr>
          <w:fldChar w:fldCharType="separate"/>
        </w:r>
        <w:r w:rsidR="00CE50FC">
          <w:rPr>
            <w:webHidden/>
          </w:rPr>
          <w:t>3</w:t>
        </w:r>
        <w:r w:rsidR="00CE50FC">
          <w:rPr>
            <w:webHidden/>
          </w:rPr>
          <w:fldChar w:fldCharType="end"/>
        </w:r>
      </w:hyperlink>
    </w:p>
    <w:p w14:paraId="162BE4B9" w14:textId="20606EF3"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1" w:history="1">
        <w:r w:rsidRPr="00773703">
          <w:rPr>
            <w:rStyle w:val="Hyperlink"/>
          </w:rPr>
          <w:t>Santrumpų ir terminų sąrašas</w:t>
        </w:r>
        <w:r>
          <w:rPr>
            <w:webHidden/>
          </w:rPr>
          <w:tab/>
        </w:r>
        <w:r>
          <w:rPr>
            <w:webHidden/>
          </w:rPr>
          <w:fldChar w:fldCharType="begin"/>
        </w:r>
        <w:r>
          <w:rPr>
            <w:webHidden/>
          </w:rPr>
          <w:instrText xml:space="preserve"> PAGEREF _Toc150521391 \h </w:instrText>
        </w:r>
        <w:r>
          <w:rPr>
            <w:webHidden/>
          </w:rPr>
        </w:r>
        <w:r>
          <w:rPr>
            <w:webHidden/>
          </w:rPr>
          <w:fldChar w:fldCharType="separate"/>
        </w:r>
        <w:r>
          <w:rPr>
            <w:webHidden/>
          </w:rPr>
          <w:t>4</w:t>
        </w:r>
        <w:r>
          <w:rPr>
            <w:webHidden/>
          </w:rPr>
          <w:fldChar w:fldCharType="end"/>
        </w:r>
      </w:hyperlink>
    </w:p>
    <w:p w14:paraId="2CF25C1C" w14:textId="2119591D"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2" w:history="1">
        <w:r w:rsidRPr="00773703">
          <w:rPr>
            <w:rStyle w:val="Hyperlink"/>
          </w:rPr>
          <w:t>Įvadas</w:t>
        </w:r>
        <w:r>
          <w:rPr>
            <w:webHidden/>
          </w:rPr>
          <w:tab/>
        </w:r>
        <w:r>
          <w:rPr>
            <w:webHidden/>
          </w:rPr>
          <w:fldChar w:fldCharType="begin"/>
        </w:r>
        <w:r>
          <w:rPr>
            <w:webHidden/>
          </w:rPr>
          <w:instrText xml:space="preserve"> PAGEREF _Toc150521392 \h </w:instrText>
        </w:r>
        <w:r>
          <w:rPr>
            <w:webHidden/>
          </w:rPr>
        </w:r>
        <w:r>
          <w:rPr>
            <w:webHidden/>
          </w:rPr>
          <w:fldChar w:fldCharType="separate"/>
        </w:r>
        <w:r>
          <w:rPr>
            <w:webHidden/>
          </w:rPr>
          <w:t>5</w:t>
        </w:r>
        <w:r>
          <w:rPr>
            <w:webHidden/>
          </w:rPr>
          <w:fldChar w:fldCharType="end"/>
        </w:r>
      </w:hyperlink>
    </w:p>
    <w:p w14:paraId="68C45BE9" w14:textId="6B1CE385"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3" w:history="1">
        <w:r w:rsidRPr="00773703">
          <w:rPr>
            <w:rStyle w:val="Hyperlink"/>
          </w:rPr>
          <w:t>1.</w:t>
        </w:r>
        <w:r>
          <w:rPr>
            <w:rFonts w:asciiTheme="minorHAnsi" w:eastAsiaTheme="minorEastAsia" w:hAnsiTheme="minorHAnsi" w:cstheme="minorBidi"/>
            <w:bCs w:val="0"/>
            <w:kern w:val="2"/>
            <w:sz w:val="22"/>
            <w:szCs w:val="22"/>
            <w:lang w:val="en-GB" w:eastAsia="en-GB"/>
            <w14:ligatures w14:val="standardContextual"/>
          </w:rPr>
          <w:tab/>
        </w:r>
        <w:r w:rsidRPr="00773703">
          <w:rPr>
            <w:rStyle w:val="Hyperlink"/>
          </w:rPr>
          <w:t>Kosmoso palydovai</w:t>
        </w:r>
        <w:r>
          <w:rPr>
            <w:webHidden/>
          </w:rPr>
          <w:tab/>
        </w:r>
        <w:r>
          <w:rPr>
            <w:webHidden/>
          </w:rPr>
          <w:fldChar w:fldCharType="begin"/>
        </w:r>
        <w:r>
          <w:rPr>
            <w:webHidden/>
          </w:rPr>
          <w:instrText xml:space="preserve"> PAGEREF _Toc150521393 \h </w:instrText>
        </w:r>
        <w:r>
          <w:rPr>
            <w:webHidden/>
          </w:rPr>
        </w:r>
        <w:r>
          <w:rPr>
            <w:webHidden/>
          </w:rPr>
          <w:fldChar w:fldCharType="separate"/>
        </w:r>
        <w:r>
          <w:rPr>
            <w:webHidden/>
          </w:rPr>
          <w:t>7</w:t>
        </w:r>
        <w:r>
          <w:rPr>
            <w:webHidden/>
          </w:rPr>
          <w:fldChar w:fldCharType="end"/>
        </w:r>
      </w:hyperlink>
    </w:p>
    <w:p w14:paraId="5006ED42" w14:textId="72A78363"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4" w:history="1">
        <w:r w:rsidRPr="00773703">
          <w:rPr>
            <w:rStyle w:val="Hyperlink"/>
          </w:rPr>
          <w:t>2.</w:t>
        </w:r>
        <w:r>
          <w:rPr>
            <w:rFonts w:asciiTheme="minorHAnsi" w:eastAsiaTheme="minorEastAsia" w:hAnsiTheme="minorHAnsi" w:cstheme="minorBidi"/>
            <w:bCs w:val="0"/>
            <w:kern w:val="2"/>
            <w:sz w:val="22"/>
            <w:szCs w:val="22"/>
            <w:lang w:val="en-GB" w:eastAsia="en-GB"/>
            <w14:ligatures w14:val="standardContextual"/>
          </w:rPr>
          <w:tab/>
        </w:r>
        <w:r w:rsidRPr="00773703">
          <w:rPr>
            <w:rStyle w:val="Hyperlink"/>
          </w:rPr>
          <w:t xml:space="preserve">Palydovo </w:t>
        </w:r>
        <w:r w:rsidRPr="00773703">
          <w:rPr>
            <w:rStyle w:val="Hyperlink"/>
          </w:rPr>
          <w:t>a</w:t>
        </w:r>
        <w:r w:rsidRPr="00773703">
          <w:rPr>
            <w:rStyle w:val="Hyperlink"/>
          </w:rPr>
          <w:t>rchitektūra</w:t>
        </w:r>
        <w:r>
          <w:rPr>
            <w:webHidden/>
          </w:rPr>
          <w:tab/>
        </w:r>
        <w:r>
          <w:rPr>
            <w:webHidden/>
          </w:rPr>
          <w:fldChar w:fldCharType="begin"/>
        </w:r>
        <w:r>
          <w:rPr>
            <w:webHidden/>
          </w:rPr>
          <w:instrText xml:space="preserve"> PAGEREF _Toc150521394 \h </w:instrText>
        </w:r>
        <w:r>
          <w:rPr>
            <w:webHidden/>
          </w:rPr>
        </w:r>
        <w:r>
          <w:rPr>
            <w:webHidden/>
          </w:rPr>
          <w:fldChar w:fldCharType="separate"/>
        </w:r>
        <w:r>
          <w:rPr>
            <w:webHidden/>
          </w:rPr>
          <w:t>11</w:t>
        </w:r>
        <w:r>
          <w:rPr>
            <w:webHidden/>
          </w:rPr>
          <w:fldChar w:fldCharType="end"/>
        </w:r>
      </w:hyperlink>
    </w:p>
    <w:p w14:paraId="34C8E13B" w14:textId="4FAA2F4A"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5" w:history="1">
        <w:r w:rsidRPr="00773703">
          <w:rPr>
            <w:rStyle w:val="Hyperlink"/>
            <w:highlight w:val="yellow"/>
          </w:rPr>
          <w:t>3.</w:t>
        </w:r>
        <w:r>
          <w:rPr>
            <w:rFonts w:asciiTheme="minorHAnsi" w:eastAsiaTheme="minorEastAsia" w:hAnsiTheme="minorHAnsi" w:cstheme="minorBidi"/>
            <w:bCs w:val="0"/>
            <w:kern w:val="2"/>
            <w:sz w:val="22"/>
            <w:szCs w:val="22"/>
            <w:lang w:val="en-GB" w:eastAsia="en-GB"/>
            <w14:ligatures w14:val="standardContextual"/>
          </w:rPr>
          <w:tab/>
        </w:r>
        <w:r w:rsidRPr="00773703">
          <w:rPr>
            <w:rStyle w:val="Hyperlink"/>
            <w:highlight w:val="yellow"/>
          </w:rPr>
          <w:t>Misijos rezultatai</w:t>
        </w:r>
        <w:r>
          <w:rPr>
            <w:webHidden/>
          </w:rPr>
          <w:tab/>
        </w:r>
        <w:r>
          <w:rPr>
            <w:webHidden/>
          </w:rPr>
          <w:fldChar w:fldCharType="begin"/>
        </w:r>
        <w:r>
          <w:rPr>
            <w:webHidden/>
          </w:rPr>
          <w:instrText xml:space="preserve"> PAGEREF _Toc150521395 \h </w:instrText>
        </w:r>
        <w:r>
          <w:rPr>
            <w:webHidden/>
          </w:rPr>
        </w:r>
        <w:r>
          <w:rPr>
            <w:webHidden/>
          </w:rPr>
          <w:fldChar w:fldCharType="separate"/>
        </w:r>
        <w:r>
          <w:rPr>
            <w:webHidden/>
          </w:rPr>
          <w:t>17</w:t>
        </w:r>
        <w:r>
          <w:rPr>
            <w:webHidden/>
          </w:rPr>
          <w:fldChar w:fldCharType="end"/>
        </w:r>
      </w:hyperlink>
    </w:p>
    <w:p w14:paraId="19756FA0" w14:textId="706CB101"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6" w:history="1">
        <w:r w:rsidRPr="00773703">
          <w:rPr>
            <w:rStyle w:val="Hyperlink"/>
            <w:highlight w:val="yellow"/>
          </w:rPr>
          <w:t>Išvados</w:t>
        </w:r>
        <w:r>
          <w:rPr>
            <w:webHidden/>
          </w:rPr>
          <w:tab/>
        </w:r>
        <w:r>
          <w:rPr>
            <w:webHidden/>
          </w:rPr>
          <w:fldChar w:fldCharType="begin"/>
        </w:r>
        <w:r>
          <w:rPr>
            <w:webHidden/>
          </w:rPr>
          <w:instrText xml:space="preserve"> PAGEREF _Toc150521396 \h </w:instrText>
        </w:r>
        <w:r>
          <w:rPr>
            <w:webHidden/>
          </w:rPr>
        </w:r>
        <w:r>
          <w:rPr>
            <w:webHidden/>
          </w:rPr>
          <w:fldChar w:fldCharType="separate"/>
        </w:r>
        <w:r>
          <w:rPr>
            <w:webHidden/>
          </w:rPr>
          <w:t>20</w:t>
        </w:r>
        <w:r>
          <w:rPr>
            <w:webHidden/>
          </w:rPr>
          <w:fldChar w:fldCharType="end"/>
        </w:r>
      </w:hyperlink>
    </w:p>
    <w:p w14:paraId="494802C6" w14:textId="06C9A00D" w:rsidR="00CE50FC" w:rsidRDefault="00CE50FC">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7" w:history="1">
        <w:r w:rsidRPr="00773703">
          <w:rPr>
            <w:rStyle w:val="Hyperlink"/>
            <w:highlight w:val="red"/>
          </w:rPr>
          <w:t>Literatūros sąrašas</w:t>
        </w:r>
        <w:r>
          <w:rPr>
            <w:webHidden/>
          </w:rPr>
          <w:tab/>
        </w:r>
        <w:r>
          <w:rPr>
            <w:webHidden/>
          </w:rPr>
          <w:fldChar w:fldCharType="begin"/>
        </w:r>
        <w:r>
          <w:rPr>
            <w:webHidden/>
          </w:rPr>
          <w:instrText xml:space="preserve"> PAGEREF _Toc150521397 \h </w:instrText>
        </w:r>
        <w:r>
          <w:rPr>
            <w:webHidden/>
          </w:rPr>
        </w:r>
        <w:r>
          <w:rPr>
            <w:webHidden/>
          </w:rPr>
          <w:fldChar w:fldCharType="separate"/>
        </w:r>
        <w:r>
          <w:rPr>
            <w:webHidden/>
          </w:rPr>
          <w:t>21</w:t>
        </w:r>
        <w:r>
          <w:rPr>
            <w:webHidden/>
          </w:rPr>
          <w:fldChar w:fldCharType="end"/>
        </w:r>
      </w:hyperlink>
    </w:p>
    <w:p w14:paraId="19C825E7" w14:textId="6A9F41DD"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503646966"/>
      <w:bookmarkStart w:id="1" w:name="_Toc503648356"/>
      <w:bookmarkStart w:id="2" w:name="_Toc503651300"/>
      <w:bookmarkStart w:id="3" w:name="_Toc505346876"/>
      <w:bookmarkStart w:id="4" w:name="_Toc150521390"/>
      <w:r w:rsidRPr="00404F95">
        <w:lastRenderedPageBreak/>
        <w:t>Paveikslų sąrašas</w:t>
      </w:r>
      <w:bookmarkEnd w:id="4"/>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521391"/>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Default="00AC681A" w:rsidP="008739B2">
      <w:pPr>
        <w:pStyle w:val="Tekstas"/>
        <w:rPr>
          <w:highlight w:val="yellow"/>
        </w:rPr>
      </w:pPr>
      <w:r w:rsidRPr="00404F95">
        <w:rPr>
          <w:highlight w:val="yellow"/>
        </w:rPr>
        <w:t>AOCS –</w:t>
      </w:r>
    </w:p>
    <w:p w14:paraId="597B5069" w14:textId="77777777" w:rsidR="007E4125" w:rsidRDefault="007E4125" w:rsidP="007E4125">
      <w:pPr>
        <w:pStyle w:val="Tekstas"/>
      </w:pPr>
      <w:r>
        <w:t>VFM (Vector Field Magnetometer)</w:t>
      </w:r>
    </w:p>
    <w:p w14:paraId="4AA23369" w14:textId="77777777" w:rsidR="006273AD" w:rsidRDefault="006273AD" w:rsidP="006273AD">
      <w:pPr>
        <w:pStyle w:val="Tekstas"/>
      </w:pPr>
      <w:r w:rsidRPr="00404F95">
        <w:t>Absolute Scalar Magnetometer (ASM)</w:t>
      </w:r>
    </w:p>
    <w:p w14:paraId="0497B25C" w14:textId="77777777" w:rsidR="006273AD" w:rsidRDefault="006273AD" w:rsidP="007E4125">
      <w:pPr>
        <w:pStyle w:val="Tekstas"/>
      </w:pPr>
    </w:p>
    <w:p w14:paraId="149955C0" w14:textId="77777777" w:rsidR="007E4125" w:rsidRPr="00404F95" w:rsidRDefault="007E4125" w:rsidP="008739B2">
      <w:pPr>
        <w:pStyle w:val="Tekstas"/>
        <w:rPr>
          <w:highlight w:val="yellow"/>
        </w:rPr>
      </w:pP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575E5CE7" w:rsidR="00D9413A" w:rsidRPr="00404F95" w:rsidRDefault="003B17C3" w:rsidP="0039105F">
      <w:pPr>
        <w:pStyle w:val="Tekstas"/>
      </w:pPr>
      <w:r w:rsidRPr="003B17C3">
        <w:rPr>
          <w:b/>
          <w:bCs/>
        </w:rPr>
        <w:t xml:space="preserve">1 Arcsecond </w:t>
      </w:r>
      <w:r w:rsidRPr="003B17C3">
        <w:t>is equal to exactly one thirtysix-hundredth arc degrees (1°/3600). In terms of radians (SI unit) this is π/648000 rad or approximately 4.848 137 x 10-6 rad.</w:t>
      </w:r>
      <w:r w:rsidR="00D9413A" w:rsidRPr="003B17C3">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50521392"/>
      <w:r w:rsidRPr="00404F95">
        <w:lastRenderedPageBreak/>
        <w:t>Įvadas</w:t>
      </w:r>
      <w:bookmarkEnd w:id="0"/>
      <w:bookmarkEnd w:id="1"/>
      <w:bookmarkEnd w:id="2"/>
      <w:bookmarkEnd w:id="3"/>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Default="00BC7106" w:rsidP="00270868">
      <w:pPr>
        <w:pStyle w:val="Tekstas"/>
      </w:pPr>
    </w:p>
    <w:p w14:paraId="0B770591" w14:textId="4690CEBF" w:rsidR="00132B5F" w:rsidRPr="00132B5F" w:rsidRDefault="00132B5F" w:rsidP="00132B5F">
      <w:pPr>
        <w:pStyle w:val="Tekstas"/>
        <w:rPr>
          <w:highlight w:val="magenta"/>
        </w:rPr>
      </w:pPr>
      <w:r w:rsidRPr="00132B5F">
        <w:rPr>
          <w:highlight w:val="magenta"/>
        </w:rPr>
        <w:t>The history of magnetic discovery goes back to about 110 B.C., when the earliest magnetic compass was invented by the Chinese. They noticed that if a “lodestone” (natural magnets of iron-rich ore) was suspended so it could turn freely, it would always point in the same direction, toward the magnetic poles. This directional pointing property of magnetic material was eventually introduced into the making of an early compass and used for maritime navigation . By the 13th century, the directive property of magnetism was widely recognized and used in navigation. The mariner’s magnetic compass is the first technological application of magnetism and, one of the oldest scientific instruments.</w:t>
      </w:r>
    </w:p>
    <w:p w14:paraId="2B9F7D44" w14:textId="799AE6AF" w:rsidR="00132B5F" w:rsidRPr="00132B5F" w:rsidRDefault="00132B5F" w:rsidP="00132B5F">
      <w:pPr>
        <w:pStyle w:val="Tekstas"/>
        <w:rPr>
          <w:highlight w:val="magenta"/>
        </w:rPr>
      </w:pPr>
      <w:r w:rsidRPr="00132B5F">
        <w:rPr>
          <w:highlight w:val="magenta"/>
        </w:rPr>
        <w:t>Until 1820, the only magnetism known was that of iron magnets and of lodestones. It was the Danish physicist Hans Christian Ørsted, professor at the University of Copenhagen, who, in 1820, was first to discover the relationship between the hitherto separate fields of electricity and magnetism. Ørsted showed that a compass needle was deflected when an electric current passed through a wire, before Faraday had formulated the physical law that carries his name: the magnetic field produced is proportional to the intensity of the current. Magnetostatics is the study of static magnetic fields, i.e. fields which do not vary with time. 19) 20)</w:t>
      </w:r>
    </w:p>
    <w:p w14:paraId="16C53A4F" w14:textId="20956575" w:rsidR="00132B5F" w:rsidRDefault="00132B5F" w:rsidP="00132B5F">
      <w:pPr>
        <w:pStyle w:val="Tekstas"/>
      </w:pPr>
      <w:r w:rsidRPr="00132B5F">
        <w:rPr>
          <w:highlight w:val="magenta"/>
        </w:rPr>
        <w:t>Magnetic and electric fields together form the two components of electromagnetism. Electromagnetic waves can move freely through space, and also through most materials at pretty much every frequency band (radio waves, microwaves, infrared, visible light, ultraviolet light, X-rays and gamma rays). Electromagnetic fields therefore combine electric and magnetic force fields that may be natural (the Earth's magnetic field) or man-made (low frequencies such as electric power transmission lines and cables, or higher frequencies such as radio waves (including cell phones) or television (Ref. 21).</w:t>
      </w:r>
    </w:p>
    <w:p w14:paraId="59F83E16" w14:textId="77777777" w:rsidR="00132B5F" w:rsidRDefault="00132B5F" w:rsidP="00270868">
      <w:pPr>
        <w:pStyle w:val="Tekstas"/>
      </w:pPr>
    </w:p>
    <w:p w14:paraId="05476D3D" w14:textId="77777777" w:rsidR="00132B5F" w:rsidRDefault="00132B5F" w:rsidP="00270868">
      <w:pPr>
        <w:pStyle w:val="Tekstas"/>
      </w:pPr>
    </w:p>
    <w:p w14:paraId="64216829" w14:textId="77777777" w:rsidR="00132B5F" w:rsidRDefault="00132B5F" w:rsidP="00270868">
      <w:pPr>
        <w:pStyle w:val="Tekstas"/>
      </w:pPr>
    </w:p>
    <w:p w14:paraId="25161154" w14:textId="77777777" w:rsidR="00132B5F" w:rsidRPr="00404F95" w:rsidRDefault="00132B5F"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lastRenderedPageBreak/>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521393"/>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2CB9D3E7"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2C4349">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1363C93A"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2C4349">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521394"/>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1CE45CE9">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481F8623" w:rsidR="00AC681A" w:rsidRDefault="00B37B16" w:rsidP="00B37B16">
      <w:pPr>
        <w:pStyle w:val="Caption"/>
      </w:pPr>
      <w:r>
        <w:fldChar w:fldCharType="begin"/>
      </w:r>
      <w:r>
        <w:instrText xml:space="preserve"> SEQ pav. \* ARABIC </w:instrText>
      </w:r>
      <w:r>
        <w:fldChar w:fldCharType="separate"/>
      </w:r>
      <w:bookmarkStart w:id="27" w:name="_Toc150156855"/>
      <w:r w:rsidR="002C4349">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2484FCD6">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0D6D6135"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2C4349">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47D72A77">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3B923D1F" w:rsidR="006D4EF8" w:rsidRDefault="0071417F" w:rsidP="0071417F">
      <w:pPr>
        <w:pStyle w:val="Caption"/>
      </w:pPr>
      <w:r>
        <w:fldChar w:fldCharType="begin"/>
      </w:r>
      <w:r>
        <w:instrText xml:space="preserve"> SEQ pav. \* ARABIC </w:instrText>
      </w:r>
      <w:r>
        <w:fldChar w:fldCharType="separate"/>
      </w:r>
      <w:bookmarkStart w:id="29" w:name="_Toc150156857"/>
      <w:r w:rsidR="002C4349">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40CF5FDC" w:rsidR="00AF0D8F" w:rsidRPr="00404F95" w:rsidRDefault="00BF7580" w:rsidP="006B3CD2">
      <w:pPr>
        <w:pStyle w:val="Heading2"/>
      </w:pPr>
      <w:r w:rsidRPr="00404F95">
        <w:lastRenderedPageBreak/>
        <w:t xml:space="preserve">Pagrindinė </w:t>
      </w:r>
      <w:r w:rsidR="0064569F">
        <w:t>matavimos sistema</w:t>
      </w:r>
    </w:p>
    <w:p w14:paraId="21B81506" w14:textId="7F2FA2A5" w:rsidR="006254DD" w:rsidRDefault="007E4125" w:rsidP="00BF7580">
      <w:pPr>
        <w:pStyle w:val="Tekstas"/>
      </w:pPr>
      <w:r w:rsidRPr="007E4125">
        <w:t xml:space="preserve">Magnetometras </w:t>
      </w:r>
      <w:r>
        <w:t xml:space="preserve">tai </w:t>
      </w:r>
      <w:r w:rsidRPr="007E4125">
        <w:t>yra prietaisas, naudojamas magnetiniam laukui matuoti</w:t>
      </w:r>
      <w:r w:rsidR="00C1634D">
        <w:t xml:space="preserve"> –</w:t>
      </w:r>
      <w:r w:rsidRPr="007E4125">
        <w:t xml:space="preserve"> jo magnetin</w:t>
      </w:r>
      <w:r w:rsidR="00C1634D">
        <w:t>io</w:t>
      </w:r>
      <w:r w:rsidRPr="007E4125">
        <w:t xml:space="preserve"> stiprum</w:t>
      </w:r>
      <w:r w:rsidR="00C1634D">
        <w:t>o</w:t>
      </w:r>
      <w:r w:rsidRPr="007E4125">
        <w:t xml:space="preserve"> ir orientacij</w:t>
      </w:r>
      <w:r w:rsidR="00C1634D">
        <w:t>os sužinojimui</w:t>
      </w:r>
      <w:r w:rsidRPr="007E4125">
        <w:t>. Populiarus magnetometro pavyzdys būtų kompasas, naudojamas aplinkos magnetinio lauko (ty šiuo atveju žemės magnetinio lauko) krypčiai matuoti.</w:t>
      </w:r>
      <w:r w:rsidR="00364F57">
        <w:t xml:space="preserve"> Taip pat ir p</w:t>
      </w:r>
      <w:r w:rsidR="006254DD">
        <w:t xml:space="preserve">agrindinė </w:t>
      </w:r>
      <w:r w:rsidR="00DC34E7">
        <w:t xml:space="preserve">„Swarm“ </w:t>
      </w:r>
      <w:r w:rsidR="006254DD">
        <w:t>misijos užduotis – tiksliai išmatuoti magnetinį lauką atliekama d</w:t>
      </w:r>
      <w:r w:rsidR="006254DD" w:rsidRPr="00840C50">
        <w:t>viem prietaisais – skaliariniu prietaisu strėlės gale, kuris matuoja lauko stiprumą ir vektoriniu instrumentu strėlės viduryje, kuris matuoja lauko kryptį, naudojant žvaigždžių kameras tiksliai orientuoti palydovą.</w:t>
      </w:r>
      <w:r w:rsidR="006254DD">
        <w:t xml:space="preserve"> Todėl svarbu detaliai apžvegti šiuos prietaisus ir jų veikimo principus.</w:t>
      </w:r>
    </w:p>
    <w:p w14:paraId="686653BB" w14:textId="2C01363B" w:rsidR="00840C50" w:rsidRDefault="003714F6" w:rsidP="00C7084C">
      <w:pPr>
        <w:pStyle w:val="Heading3"/>
      </w:pPr>
      <w:r>
        <w:t>V</w:t>
      </w:r>
      <w:r w:rsidRPr="00BE0821">
        <w:t>ektorinis lauko magnetometras</w:t>
      </w:r>
    </w:p>
    <w:p w14:paraId="48CBBD62" w14:textId="77777777" w:rsidR="00D210DF" w:rsidRDefault="00BE0821" w:rsidP="00D210DF">
      <w:pPr>
        <w:pStyle w:val="Tekstas"/>
      </w:pPr>
      <w:r w:rsidRPr="00BE0821">
        <w:t>„Swarm“ palydovuose esantis vektorinis lauko magnetometras (</w:t>
      </w:r>
      <w:r>
        <w:t xml:space="preserve">angl. </w:t>
      </w:r>
      <w:r w:rsidRPr="00132B5F">
        <w:t xml:space="preserve">Vector Field Magnetometer </w:t>
      </w:r>
      <w:r>
        <w:t xml:space="preserve"> –</w:t>
      </w:r>
      <w:r w:rsidRPr="00BE0821">
        <w:t xml:space="preserve">VFM) yra pagrindinis misijos instrumentas. Jis </w:t>
      </w:r>
      <w:r>
        <w:t>iš</w:t>
      </w:r>
      <w:r w:rsidRPr="00BE0821">
        <w:t xml:space="preserve">gauna didelio tikslumo magnetinio lauko </w:t>
      </w:r>
      <w:r>
        <w:t>(</w:t>
      </w:r>
      <w:r w:rsidRPr="00BE0821">
        <w:t>lauko vektoriaus</w:t>
      </w:r>
      <w:r>
        <w:t>)</w:t>
      </w:r>
      <w:r w:rsidRPr="00BE0821">
        <w:t xml:space="preserve"> dydžio ir krypties matavimus. Vektoriaus orientaciją nustato žvaigždžių sekimo agregatas</w:t>
      </w:r>
      <w:r w:rsidR="002B15DE">
        <w:t xml:space="preserve"> sudarytas iš trijų optinių galvų</w:t>
      </w:r>
      <w:r w:rsidRPr="00BE0821">
        <w:t>, kuris pateikia padėties duomenis. Tiek VFM, tiek žvaigždžių sekimo įrenginiai (STR) yra ant itin stabilios konstrukcijos, vadinamos optiniu stendu, palydovo strėl</w:t>
      </w:r>
      <w:r>
        <w:t>ės viduryje</w:t>
      </w:r>
      <w:r w:rsidRPr="00BE0821">
        <w:t xml:space="preserve">. </w:t>
      </w:r>
      <w:r w:rsidR="00783112">
        <w:t>Šis p</w:t>
      </w:r>
      <w:r w:rsidRPr="00BE0821">
        <w:t>rietaisas buvo sukurtas ir pagamintas Danijos technikos universitete.</w:t>
      </w:r>
      <w:r w:rsidR="00D210DF">
        <w:t xml:space="preserve"> </w:t>
      </w:r>
      <w:r w:rsidR="00D210DF" w:rsidRPr="003B17C3">
        <w:t>Žvaigžd</w:t>
      </w:r>
      <w:r w:rsidR="00D210DF">
        <w:t xml:space="preserve">ių sekekliai yra </w:t>
      </w:r>
      <w:r w:rsidR="00D210DF" w:rsidRPr="003B17C3">
        <w:t>reikaling</w:t>
      </w:r>
      <w:r w:rsidR="00D210DF">
        <w:t>i</w:t>
      </w:r>
      <w:r w:rsidR="00D210DF" w:rsidRPr="003B17C3">
        <w:t xml:space="preserve"> norint atlikti itin tikslius padėties matavimus, kurių reikia norint tiksliai nustatyti lauko vektorių. Trys kameros galvutės blokai yra išdėstyti taip, kad </w:t>
      </w:r>
      <w:r w:rsidR="00D210DF">
        <w:t xml:space="preserve">matavimai </w:t>
      </w:r>
      <w:r w:rsidR="00D210DF" w:rsidRPr="003B17C3">
        <w:t xml:space="preserve">būtų 90° vienas nuo kito, kad vienu metu saulės arba mėnulio įsiskverbimo paveiktų tik vieną kameros galvutę. Kameros galvutėse yra šviesos slopinimo sistema, kuri sumažina šiluminius poslinkius, atsirandančius dėl kintančio saulės poveikio. </w:t>
      </w:r>
    </w:p>
    <w:p w14:paraId="60312AB8" w14:textId="77777777" w:rsidR="00BC381A" w:rsidRDefault="00BC381A" w:rsidP="003714F6">
      <w:pPr>
        <w:pStyle w:val="Tekstas"/>
        <w:keepNext/>
        <w:jc w:val="center"/>
      </w:pPr>
      <w:r>
        <w:rPr>
          <w:noProof/>
        </w:rPr>
        <w:drawing>
          <wp:inline distT="0" distB="0" distL="0" distR="0" wp14:anchorId="263A2A8B" wp14:editId="207EDF07">
            <wp:extent cx="6120130" cy="3524885"/>
            <wp:effectExtent l="0" t="0" r="0" b="0"/>
            <wp:docPr id="204026739" name="Picture 2" descr="Figure 112: The VFM flight model with redundant electronics unit or DPU (left) and CSC sensor (right), image credit: DTU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12: The VFM flight model with redundant electronics unit or DPU (left) and CSC sensor (right), image credit: DTU 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inline>
        </w:drawing>
      </w:r>
    </w:p>
    <w:p w14:paraId="5940CE60" w14:textId="605E1115" w:rsidR="00BC381A" w:rsidRDefault="00BC381A" w:rsidP="003714F6">
      <w:pPr>
        <w:pStyle w:val="Caption"/>
      </w:pPr>
      <w:r>
        <w:fldChar w:fldCharType="begin"/>
      </w:r>
      <w:r>
        <w:instrText xml:space="preserve"> SEQ pav. \* ARABIC </w:instrText>
      </w:r>
      <w:r>
        <w:fldChar w:fldCharType="separate"/>
      </w:r>
      <w:r w:rsidR="002C4349">
        <w:rPr>
          <w:noProof/>
        </w:rPr>
        <w:t>6</w:t>
      </w:r>
      <w:r>
        <w:fldChar w:fldCharType="end"/>
      </w:r>
      <w:r>
        <w:t xml:space="preserve"> pav.</w:t>
      </w:r>
      <w:r w:rsidR="003714F6">
        <w:t xml:space="preserve"> Swarm palydovų duomenų apdorojimo blokas (kairėje) ir fluxgate</w:t>
      </w:r>
      <w:r w:rsidR="006C75D9">
        <w:t xml:space="preserve"> tipo</w:t>
      </w:r>
      <w:r w:rsidR="003714F6">
        <w:t xml:space="preserve"> </w:t>
      </w:r>
      <w:r w:rsidR="001E2CD5">
        <w:t xml:space="preserve">vektorinis lauko </w:t>
      </w:r>
      <w:r w:rsidR="003714F6">
        <w:t>magnetometras (dešinėje)</w:t>
      </w:r>
    </w:p>
    <w:p w14:paraId="5072FCF7" w14:textId="665F6539" w:rsidR="00BC381A" w:rsidRDefault="003B17C3" w:rsidP="00132B5F">
      <w:pPr>
        <w:pStyle w:val="Tekstas"/>
      </w:pPr>
      <w:r w:rsidRPr="003B17C3">
        <w:t xml:space="preserve">Norint gauti tikslius matavimus, optinis stendas, kuriame yra vektoriaus lauko magnetometras, turėjo būti suprojektuotas taip, kad prietaisai būtų išlyginti iki </w:t>
      </w:r>
      <w:r>
        <w:t>arksekundės</w:t>
      </w:r>
      <w:r w:rsidRPr="003B17C3">
        <w:t xml:space="preserve">. Tai yra aukšto lygio stabilumas </w:t>
      </w:r>
      <w:r w:rsidRPr="003B17C3">
        <w:lastRenderedPageBreak/>
        <w:t>ir buvo iššūkis projektavimo komandai, nes instrumentai turi atlaikyti didžiulius temperatūros svyravimus, kai palydovai patenka į saulės šviesą ir išeina iš jos.</w:t>
      </w:r>
      <w:r w:rsidR="00E05BA2">
        <w:t xml:space="preserve"> </w:t>
      </w:r>
      <w:r w:rsidR="00D210DF" w:rsidRPr="00D210DF">
        <w:t>Prietaisą sudaro neperteklinis kompaktiškos sferinės ritės</w:t>
      </w:r>
      <w:r w:rsidR="00D210DF">
        <w:t xml:space="preserve"> (angl. </w:t>
      </w:r>
      <w:r w:rsidR="00D210DF" w:rsidRPr="003B17C3">
        <w:rPr>
          <w:highlight w:val="yellow"/>
        </w:rPr>
        <w:t>Compact Spherical Coil</w:t>
      </w:r>
      <w:r w:rsidR="00D210DF">
        <w:t>)</w:t>
      </w:r>
      <w:r w:rsidR="00D210DF" w:rsidRPr="00D210DF">
        <w:t xml:space="preserve"> jutiklis ant strėlės, perteklinis duomenų apdorojimo blokas palydovo korpuse ir jungiamoji juosta su 12 metrų</w:t>
      </w:r>
      <w:r w:rsidR="00D210DF">
        <w:t xml:space="preserve"> ilgio ir</w:t>
      </w:r>
      <w:r w:rsidR="00D210DF" w:rsidRPr="00D210DF">
        <w:t xml:space="preserve"> 8 milimetrų skersmens kabeliu. Sferinė ritė, kuri sukuria homogeninį magnetinį lauką, sumontuota ant stabilios ir izotropinės mechaninės konstrukcijos. </w:t>
      </w:r>
      <w:r w:rsidR="00D069CB">
        <w:t xml:space="preserve">Patį </w:t>
      </w:r>
      <w:r w:rsidR="00D210DF" w:rsidRPr="00D210DF">
        <w:t>VFM jutiklį laiko perpjautas adapterio žiedas.</w:t>
      </w:r>
    </w:p>
    <w:p w14:paraId="6BF02654" w14:textId="5D157071" w:rsidR="00BC5D0B" w:rsidRDefault="00BC5D0B" w:rsidP="00132B5F">
      <w:pPr>
        <w:pStyle w:val="Tekstas"/>
      </w:pPr>
      <w:r w:rsidRPr="00BC5D0B">
        <w:t xml:space="preserve">VFM (fluxgate tipo) yra pagrįstas </w:t>
      </w:r>
      <w:r w:rsidRPr="00BC5D0B">
        <w:rPr>
          <w:b/>
          <w:bCs/>
        </w:rPr>
        <w:t>fluxgate</w:t>
      </w:r>
      <w:r w:rsidRPr="00BC5D0B">
        <w:t xml:space="preserve"> keitikliu, naudojančiu žiedinę šerdį su amorfine magnetine medžiaga, kuri turi labai mažą triukšmą (10-20 pT rms). Jis pasižymi itin dideliu stabilumu &lt; 0,05 nT/met</w:t>
      </w:r>
      <w:r>
        <w:t>ai</w:t>
      </w:r>
      <w:r w:rsidRPr="00BC5D0B">
        <w:t xml:space="preserve">. VFM sudaro </w:t>
      </w:r>
      <w:r w:rsidR="00C053D3" w:rsidRPr="00BC5D0B">
        <w:t xml:space="preserve">neperteklinis </w:t>
      </w:r>
      <w:r w:rsidRPr="00BC5D0B">
        <w:t>CSC (Compact Spherical Coil) jutiklis, sumontuotas ant išskleidžiamos strėlės, vidinio perteklinio duomenų apdorojimo bloko (DPU) ir jungiamojo laido. Sferinės ritės, sukuriančios vienalytį vektorinį lauką sferos viduje, yra sumontuotos ant izotropinės ir itin stabilios mechaninės atramos. Grįžtamojo ryšio sąlygomis jutiklis naudojamas kaip nulinis įtaisas, o ritės vienareikšmiškai apibrėžia jutiklio magnetines ašis. VFM pasižymi dideliu tiesiškumu (&lt; 1ppm), komponento tikslumas yra 0,5 nT ir 50 pT kvadratinės vertės tikslumas.</w:t>
      </w:r>
      <w:r w:rsidR="00BC381A">
        <w:t xml:space="preserve"> </w:t>
      </w:r>
      <w:r w:rsidR="00BC381A" w:rsidRPr="00BC381A">
        <w:t xml:space="preserve">VFM duomenis </w:t>
      </w:r>
      <w:r w:rsidR="00BC381A">
        <w:t xml:space="preserve">gauna </w:t>
      </w:r>
      <w:r w:rsidR="00BC381A" w:rsidRPr="00BC381A">
        <w:t xml:space="preserve">50 Hz dažniu visuose trijuose </w:t>
      </w:r>
      <w:r w:rsidR="00146A8F">
        <w:t xml:space="preserve">identiškuose </w:t>
      </w:r>
      <w:r w:rsidR="00BC381A" w:rsidRPr="00BC381A">
        <w:t>erdvėlaiviuose.</w:t>
      </w:r>
    </w:p>
    <w:p w14:paraId="148E9C7D" w14:textId="7326C600" w:rsidR="00132B5F" w:rsidRDefault="009F16AA" w:rsidP="00132B5F">
      <w:pPr>
        <w:pStyle w:val="Tekstas"/>
      </w:pPr>
      <w:r w:rsidRPr="009F16AA">
        <w:t xml:space="preserve">Feromagnetinio jutiklio šerdies teigiamo ir neigiamo magnetinio prisotinimo lygių simetrija leidžia veikti fluxgate magnetometrui, nuolat tikrinant šerdies </w:t>
      </w:r>
      <w:r>
        <w:t>pri</w:t>
      </w:r>
      <w:r w:rsidRPr="009F16AA">
        <w:t>soti</w:t>
      </w:r>
      <w:r>
        <w:t>nimo</w:t>
      </w:r>
      <w:r w:rsidRPr="009F16AA">
        <w:t xml:space="preserve"> lygius aukšto dažnio sužadinimo įmagnetinimo srove, kuri leidžia jutikliui aptikti nedidelius nukrypimus nuo nulinio lauko.</w:t>
      </w:r>
      <w:r w:rsidR="00BC381A">
        <w:t xml:space="preserve"> </w:t>
      </w:r>
      <w:r w:rsidR="004E1C7F" w:rsidRPr="004E1C7F">
        <w:t>Prietaiso triukšmas yra tik keli</w:t>
      </w:r>
      <w:r w:rsidR="004E1C7F">
        <w:t>o</w:t>
      </w:r>
      <w:r w:rsidR="004E1C7F" w:rsidRPr="004E1C7F">
        <w:t xml:space="preserve"> piko</w:t>
      </w:r>
      <w:r w:rsidR="004E1C7F">
        <w:t>T</w:t>
      </w:r>
      <w:r w:rsidR="004E1C7F" w:rsidRPr="004E1C7F">
        <w:t>esl</w:t>
      </w:r>
      <w:r w:rsidR="004E1C7F">
        <w:t>os</w:t>
      </w:r>
      <w:r w:rsidR="004E1C7F" w:rsidRPr="004E1C7F">
        <w:t xml:space="preserve">, o VFM užtikrina ilgalaikį stabilumą </w:t>
      </w:r>
      <w:r w:rsidR="00075AC6">
        <w:t>n</w:t>
      </w:r>
      <w:r w:rsidR="004E1C7F" w:rsidRPr="004E1C7F">
        <w:t>ano</w:t>
      </w:r>
      <w:r w:rsidR="00075AC6">
        <w:t>T</w:t>
      </w:r>
      <w:r w:rsidR="004E1C7F" w:rsidRPr="004E1C7F">
        <w:t>esl</w:t>
      </w:r>
      <w:r w:rsidR="00075AC6">
        <w:t>ų</w:t>
      </w:r>
      <w:r w:rsidR="004E1C7F" w:rsidRPr="004E1C7F">
        <w:t xml:space="preserve"> diapazone.</w:t>
      </w:r>
      <w:r w:rsidR="004E1C7F">
        <w:tab/>
      </w:r>
    </w:p>
    <w:p w14:paraId="60C8818D" w14:textId="6A873960" w:rsidR="00132B5F" w:rsidRPr="00404F95" w:rsidRDefault="00050BF9" w:rsidP="00BF7580">
      <w:pPr>
        <w:pStyle w:val="Tekstas"/>
      </w:pPr>
      <w:r>
        <w:rPr>
          <w:noProof/>
        </w:rPr>
        <w:t xml:space="preserve">Taigi, pagrindinis šio preitaiso </w:t>
      </w:r>
      <w:r w:rsidR="00B96B3E">
        <w:rPr>
          <w:noProof/>
        </w:rPr>
        <w:t xml:space="preserve">principas </w:t>
      </w:r>
      <w:r>
        <w:rPr>
          <w:noProof/>
        </w:rPr>
        <w:t>yra fluxgate</w:t>
      </w:r>
      <w:r w:rsidR="00243138">
        <w:rPr>
          <w:noProof/>
        </w:rPr>
        <w:t xml:space="preserve"> </w:t>
      </w:r>
      <w:r w:rsidR="00B96B3E" w:rsidRPr="00B96B3E">
        <w:t>magnetometras veikia naudodamas feromagnetinę šerdį, paprastai pagamintą iš tokių medžiagų kaip nikelio ir geležies lydin</w:t>
      </w:r>
      <w:r w:rsidR="00B96B3E">
        <w:t>io</w:t>
      </w:r>
      <w:r w:rsidR="00B96B3E" w:rsidRPr="00B96B3E">
        <w:t>, apsupt</w:t>
      </w:r>
      <w:r w:rsidR="00243138">
        <w:t>o</w:t>
      </w:r>
      <w:r w:rsidR="00B96B3E" w:rsidRPr="00B96B3E">
        <w:t xml:space="preserve"> sužadinimo ritėmis, kurios naudoja kintamąją srovę, sukeldamos histerezės kilpą šerdies įmagnetinimo charakteristikose. Paėmimo ritės aptinka magnetinio srauto pokyčius šerdyje, kai jis prisisotina ir mažėja. Veikiant išoriniam magnetiniam laukui, histerezės kilpa tampa asimetriška, o paėmimo ritės generuoja išėjimo signalą, kurio amplitudė atspindi išorinio lauko stiprumą. Naudojant keletą skirtingų orientacijų ritinių, fluxgate magnetometras taip pat gali nustatyti magnetinio lauko kryptį. </w:t>
      </w:r>
    </w:p>
    <w:p w14:paraId="4AD11756" w14:textId="7F808D26" w:rsidR="007A6565" w:rsidRPr="00404F95" w:rsidRDefault="001D1DE5" w:rsidP="00C7084C">
      <w:pPr>
        <w:pStyle w:val="Heading3"/>
      </w:pPr>
      <w:r w:rsidRPr="001D1DE5">
        <w:t>Absoliutinis skaliarinis magnetometras</w:t>
      </w:r>
    </w:p>
    <w:p w14:paraId="402CBF45" w14:textId="2C1A732D" w:rsidR="007A6565" w:rsidRDefault="00994A6B" w:rsidP="00E77182">
      <w:pPr>
        <w:pStyle w:val="Tekstas"/>
      </w:pPr>
      <w:r w:rsidRPr="00994A6B">
        <w:t>Swarm palydovuose esantis absoliut</w:t>
      </w:r>
      <w:r w:rsidR="00814FD4">
        <w:t>ini</w:t>
      </w:r>
      <w:r w:rsidRPr="00994A6B">
        <w:t>s skaliarinis magnetometras (</w:t>
      </w:r>
      <w:r w:rsidR="00B620A5">
        <w:t xml:space="preserve">angl. </w:t>
      </w:r>
      <w:r w:rsidRPr="00C86DD7">
        <w:t xml:space="preserve">Absolute Scalar Magnetometer </w:t>
      </w:r>
      <w:r>
        <w:t xml:space="preserve"> – </w:t>
      </w:r>
      <w:r w:rsidRPr="00994A6B">
        <w:t>ASM) matuoja magnetinio lauko stiprumą tiksliau nei bet kuris kitas magnetometras. Jis suteikia magnetinio lauko skaliarinius matavimus, kad būtų galima kalibruoti vektorinio lauko magnetometrą</w:t>
      </w:r>
      <w:r w:rsidR="00E77182">
        <w:t xml:space="preserve">.  </w:t>
      </w:r>
      <w:r w:rsidR="00E77182" w:rsidRPr="00E77182">
        <w:t>Dėl ASM charakteristikų prietaisas idealiai tinka ne tik tradiciniam</w:t>
      </w:r>
      <w:r w:rsidR="00E77182">
        <w:t xml:space="preserve"> panaudojimui</w:t>
      </w:r>
      <w:r w:rsidR="00E77182" w:rsidRPr="00E77182">
        <w:t xml:space="preserve">, kaip absoliučios atskaitos </w:t>
      </w:r>
      <w:r w:rsidR="00E77182">
        <w:t xml:space="preserve">matavimu </w:t>
      </w:r>
      <w:r w:rsidR="00E77182" w:rsidRPr="00E77182">
        <w:t xml:space="preserve">kalibruojant </w:t>
      </w:r>
      <w:r w:rsidR="00E77182">
        <w:t xml:space="preserve">įvairius </w:t>
      </w:r>
      <w:r w:rsidR="00E77182" w:rsidRPr="00E77182">
        <w:t>vektorinius prietaisus, bet ir išplėstiniams veikimo pajėgumams, pvz., aukštesnio dažnio skaliariniams matavimams (galimai magnetosferai)</w:t>
      </w:r>
      <w:r w:rsidR="00E77182">
        <w:t>,</w:t>
      </w:r>
      <w:r w:rsidR="00E77182" w:rsidRPr="00E77182">
        <w:t xml:space="preserve"> žemo dažnio spektro dalies tyrimai arba autonominės skaliarinės / vektorinės operacijos. Be to, helio magnetometras gali būti naudojamas nulinio lauko konfigūracija su labai nedideliais jutiklio bendro dizaino pokyčiais, taip praplečiant jo pradines galimybes naujoms planetų tyrinėjimo misijoms.</w:t>
      </w:r>
    </w:p>
    <w:p w14:paraId="30EE8276" w14:textId="77777777" w:rsidR="00A1319B" w:rsidRDefault="00A1319B" w:rsidP="00A1319B">
      <w:pPr>
        <w:pStyle w:val="Tekstas"/>
        <w:tabs>
          <w:tab w:val="left" w:pos="2445"/>
          <w:tab w:val="left" w:pos="6453"/>
        </w:tabs>
      </w:pPr>
      <w:r w:rsidRPr="0021096B">
        <w:t xml:space="preserve">ASM instrumentas susideda iš </w:t>
      </w:r>
      <w:r>
        <w:t>d</w:t>
      </w:r>
      <w:r w:rsidRPr="0021096B">
        <w:t>uomenų apdorojimo blok</w:t>
      </w:r>
      <w:r>
        <w:t>o</w:t>
      </w:r>
      <w:r w:rsidRPr="0021096B">
        <w:t xml:space="preserve"> (DPU) ir jutiklio blok</w:t>
      </w:r>
      <w:r>
        <w:t>o</w:t>
      </w:r>
      <w:r w:rsidRPr="0021096B">
        <w:t xml:space="preserve">, prijungtas prie DPU </w:t>
      </w:r>
      <w:r>
        <w:t>optiniais</w:t>
      </w:r>
      <w:r w:rsidRPr="0021096B">
        <w:t xml:space="preserve"> </w:t>
      </w:r>
      <w:r>
        <w:t xml:space="preserve">kabeliais </w:t>
      </w:r>
      <w:r w:rsidRPr="0021096B">
        <w:t xml:space="preserve">ir elektros kabeliais. Du identiški jutikliai yra sumontuoti ant išskleidžiamos strėlės galo, kad sistema, kuri taip pat turi du DPU – po vieną kiekvienam jutikliui, būtų perteklinė. DPU sudaro du </w:t>
      </w:r>
      <w:r>
        <w:t>sudėti</w:t>
      </w:r>
      <w:r w:rsidRPr="0021096B">
        <w:t xml:space="preserve"> moduliai.</w:t>
      </w:r>
    </w:p>
    <w:p w14:paraId="0033B315" w14:textId="77777777" w:rsidR="002C4349" w:rsidRDefault="00D91756" w:rsidP="002C4349">
      <w:pPr>
        <w:pStyle w:val="Tekstas"/>
        <w:keepNext/>
        <w:tabs>
          <w:tab w:val="left" w:pos="2445"/>
        </w:tabs>
        <w:jc w:val="center"/>
      </w:pPr>
      <w:r>
        <w:rPr>
          <w:noProof/>
        </w:rPr>
        <w:lastRenderedPageBreak/>
        <w:drawing>
          <wp:inline distT="0" distB="0" distL="0" distR="0" wp14:anchorId="40BC3955" wp14:editId="1829F8E8">
            <wp:extent cx="4032250" cy="2094230"/>
            <wp:effectExtent l="0" t="0" r="6350" b="1270"/>
            <wp:docPr id="490291910" name="Picture 1" descr="AS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 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2094230"/>
                    </a:xfrm>
                    <a:prstGeom prst="rect">
                      <a:avLst/>
                    </a:prstGeom>
                    <a:noFill/>
                    <a:ln>
                      <a:noFill/>
                    </a:ln>
                  </pic:spPr>
                </pic:pic>
              </a:graphicData>
            </a:graphic>
          </wp:inline>
        </w:drawing>
      </w:r>
    </w:p>
    <w:p w14:paraId="66C9EB94" w14:textId="6D954CD2" w:rsidR="00D91756" w:rsidRDefault="002C4349" w:rsidP="002C4349">
      <w:pPr>
        <w:pStyle w:val="Caption"/>
      </w:pPr>
      <w:r>
        <w:fldChar w:fldCharType="begin"/>
      </w:r>
      <w:r>
        <w:instrText xml:space="preserve"> SEQ pav. \* ARABIC </w:instrText>
      </w:r>
      <w:r>
        <w:fldChar w:fldCharType="separate"/>
      </w:r>
      <w:r>
        <w:rPr>
          <w:noProof/>
        </w:rPr>
        <w:t>7</w:t>
      </w:r>
      <w:r>
        <w:fldChar w:fldCharType="end"/>
      </w:r>
      <w:r>
        <w:t xml:space="preserve"> pav.</w:t>
      </w:r>
      <w:r w:rsidR="00C51ECA">
        <w:t xml:space="preserve"> A</w:t>
      </w:r>
      <w:r w:rsidR="00C51ECA" w:rsidRPr="00994A6B">
        <w:t>bsoliut</w:t>
      </w:r>
      <w:r w:rsidR="00C51ECA">
        <w:t>inis</w:t>
      </w:r>
      <w:r w:rsidR="00C51ECA" w:rsidRPr="00994A6B">
        <w:t xml:space="preserve"> skaliarinis magnetometras</w:t>
      </w:r>
    </w:p>
    <w:p w14:paraId="0A0061CD" w14:textId="7DB5679B" w:rsidR="00D91756" w:rsidRDefault="004049EB" w:rsidP="00D91756">
      <w:pPr>
        <w:pStyle w:val="Tekstas"/>
        <w:tabs>
          <w:tab w:val="left" w:pos="2445"/>
        </w:tabs>
      </w:pPr>
      <w:r w:rsidRPr="004049EB">
        <w:t>ASM yra pagrįstas elektron</w:t>
      </w:r>
      <w:r>
        <w:t>ų</w:t>
      </w:r>
      <w:r w:rsidRPr="004049EB">
        <w:t xml:space="preserve"> sukimosi rezonanso principu ir naudoja </w:t>
      </w:r>
      <w:r w:rsidRPr="004049EB">
        <w:rPr>
          <w:i/>
          <w:iCs/>
        </w:rPr>
        <w:t>Zeeman</w:t>
      </w:r>
      <w:r w:rsidRPr="004049EB">
        <w:t xml:space="preserve"> efektą, kuris padalija atomų emisijos ir sugerties linijas aplinkos magnetiniame lauke. Skilimo modelis ir dydis yra magnetinio lauko stiprumo ženklas. Optiškai pumpuojamas helio magnetometras naudoja aukšto dažnio (HF) iškrovą dujų elemente, kad sužadintų 4He atomus iš pagrindinės būsenos į metastabilią būseną. Šį metastabilų lygį Žemės magnetinis laukas padalija į tris Zeeman sublygius. Tų polygių atskyrimas yra tiesiogiai proporcingas aplinkos lauko stiprumui ir yra lygus pusei giroskopo dažnio (eB/2m – čia m yra elektrono masė).</w:t>
      </w:r>
      <w:r w:rsidR="00127FED">
        <w:t xml:space="preserve"> </w:t>
      </w:r>
      <w:r w:rsidR="00127FED" w:rsidRPr="00127FED">
        <w:t>Naudojant šį matavimo principą, ASM gali nustatyti magnetinio lauko stiprumą su dideliu jautrumu ir našumu, kuris išlieka identiškas visuose orbitos taškuose. ASM atlieka absoliučius matavimus be jokio nukrypimo ar šališkumo. ASM taip pat gali nustatyti magnetinio lauko komponentus išilgai trijų ašių, statmenų viena kitai, todėl gaunami magnetinio lauko vektoriaus matavimai, kuriuos galima naudoti vektorinio lauko magnetometro ir ASM duomenų palyginimui, kad būtų galima patikrinti ASM jutiklio konstrukciją būsimoms misijoms.</w:t>
      </w:r>
    </w:p>
    <w:p w14:paraId="5CBDE665" w14:textId="59671E41" w:rsidR="004A1220" w:rsidRDefault="00FC79E8" w:rsidP="00D91756">
      <w:pPr>
        <w:pStyle w:val="Tekstas"/>
        <w:tabs>
          <w:tab w:val="left" w:pos="2445"/>
        </w:tabs>
      </w:pPr>
      <w:r w:rsidRPr="00FC79E8">
        <w:t>ASM veikia su tiesiškai poliarizuot</w:t>
      </w:r>
      <w:r>
        <w:t>ais</w:t>
      </w:r>
      <w:r w:rsidRPr="00FC79E8">
        <w:t xml:space="preserve"> švies</w:t>
      </w:r>
      <w:r>
        <w:t>os spinduliais</w:t>
      </w:r>
      <w:r w:rsidRPr="00FC79E8">
        <w:t>, o ne su žiedine poliarizuota šviesa. Pagrindinės tokio pasirinkimo priežastys yra šios:</w:t>
      </w:r>
    </w:p>
    <w:p w14:paraId="3905DBCE" w14:textId="1D74FE42" w:rsidR="004A1220" w:rsidRDefault="004A1220" w:rsidP="00D91756">
      <w:pPr>
        <w:pStyle w:val="Tekstas"/>
        <w:tabs>
          <w:tab w:val="left" w:pos="2445"/>
        </w:tabs>
      </w:pPr>
      <w:r w:rsidRPr="004A1220">
        <w:t xml:space="preserve">Stipri sąveika tarp lazerio </w:t>
      </w:r>
      <w:r w:rsidR="00E55E4C">
        <w:t>spindulio</w:t>
      </w:r>
      <w:r w:rsidRPr="004A1220">
        <w:t xml:space="preserve"> pluošto ir helio atomų gali paveikti jų energijos lygį ir sukelti vadinamuosius šviesos poslinkius, kai </w:t>
      </w:r>
      <w:r w:rsidR="00E55E4C">
        <w:t>skleidžiamos</w:t>
      </w:r>
      <w:r w:rsidRPr="004A1220">
        <w:t xml:space="preserve"> šviesos bangos ilgis nukrypsta nuo helio perėjimo centro bangos ilgio. </w:t>
      </w:r>
      <w:r w:rsidR="000B3B42">
        <w:t>Tuo tarpu</w:t>
      </w:r>
      <w:r w:rsidRPr="004A1220">
        <w:t xml:space="preserve"> tiesiškai poliarizuotos šviesos naudojimas slopina šį efektą ir taip žymiai padidina instrumento tikslumą.</w:t>
      </w:r>
    </w:p>
    <w:p w14:paraId="60E0FE5E" w14:textId="3D1236E8" w:rsidR="004A1220" w:rsidRDefault="001057CE" w:rsidP="00D91756">
      <w:pPr>
        <w:pStyle w:val="Tekstas"/>
        <w:tabs>
          <w:tab w:val="left" w:pos="2445"/>
        </w:tabs>
      </w:pPr>
      <w:r w:rsidRPr="001057CE">
        <w:t xml:space="preserve">Pagrindinis parametras, reguliuojantis optinio </w:t>
      </w:r>
      <w:r>
        <w:t>sklidimo</w:t>
      </w:r>
      <w:r w:rsidRPr="001057CE">
        <w:t xml:space="preserve"> kampinę priklausomybę, yra lazerio poliarizacijos kryptis</w:t>
      </w:r>
      <w:r>
        <w:t>. Taigi</w:t>
      </w:r>
      <w:r w:rsidRPr="001057CE">
        <w:t>, bandant sukurti izotropinį instrumentą, t. y. instrumentą, kurio veikimas nepriklauso nuo jutiklio padėties, akivaizdu, kad lengviau valdyti tiesinės poliarizacijos kryptį, nei pasukti visą jutiklį, kad jis būtų tinkamai suderintas magnetinio</w:t>
      </w:r>
      <w:r>
        <w:t xml:space="preserve"> </w:t>
      </w:r>
      <w:r w:rsidRPr="001057CE">
        <w:t>lauko</w:t>
      </w:r>
      <w:r>
        <w:t xml:space="preserve"> krypties</w:t>
      </w:r>
      <w:r w:rsidRPr="001057CE">
        <w:t xml:space="preserve"> atžvilgiu. Taigi </w:t>
      </w:r>
      <w:r>
        <w:t xml:space="preserve">šiuo </w:t>
      </w:r>
      <w:r w:rsidRPr="001057CE">
        <w:t>atveju izotropija pasiekiama naudojant magnetinį pjezoelektrinį variklį, kuris nuolat kontroliuoja lazerio poliarizaciją ir RF magnetinio lauko kryptis, kad jos būtų statmenos statiniam magnetiniam laukui.</w:t>
      </w:r>
    </w:p>
    <w:p w14:paraId="0468744F" w14:textId="6E63BC77" w:rsidR="00AF0D8F" w:rsidRPr="00404F95" w:rsidRDefault="001E4027" w:rsidP="00E71A36">
      <w:pPr>
        <w:pStyle w:val="Heading1"/>
        <w:rPr>
          <w:highlight w:val="yellow"/>
        </w:rPr>
      </w:pPr>
      <w:bookmarkStart w:id="30" w:name="_Toc150521395"/>
      <w:r>
        <w:rPr>
          <w:highlight w:val="yellow"/>
        </w:rPr>
        <w:lastRenderedPageBreak/>
        <w:t>Misijos rezultatai</w:t>
      </w:r>
      <w:bookmarkEnd w:id="30"/>
    </w:p>
    <w:p w14:paraId="3C4B38F6" w14:textId="77777777" w:rsidR="001E4027" w:rsidRDefault="001E4027" w:rsidP="007A6287">
      <w:pPr>
        <w:pStyle w:val="Tekstas"/>
        <w:rPr>
          <w:highlight w:val="yellow"/>
        </w:rPr>
      </w:pPr>
    </w:p>
    <w:p w14:paraId="2AFCD1AE" w14:textId="77777777" w:rsidR="001E4027" w:rsidRPr="00404F95" w:rsidRDefault="001E4027" w:rsidP="001E4027">
      <w:pPr>
        <w:pStyle w:val="Tekstas"/>
      </w:pPr>
      <w:r w:rsidRPr="00404F95">
        <w:t>ESA downloads the raw data from Swarm satellites to the Kiruna and Svalbard stations and processes them in almost real-time (with a delay of 3–4 days only).</w:t>
      </w:r>
    </w:p>
    <w:p w14:paraId="0533B03D" w14:textId="77777777" w:rsidR="001E4027" w:rsidRPr="00404F95" w:rsidRDefault="001E4027" w:rsidP="007A6287">
      <w:pPr>
        <w:pStyle w:val="Tekstas"/>
        <w:rPr>
          <w:highlight w:val="yellow"/>
        </w:rPr>
      </w:pP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1BA52472" w14:textId="3071B021" w:rsidR="00C86DD7" w:rsidRDefault="00C86DD7" w:rsidP="007A6287">
      <w:pPr>
        <w:pStyle w:val="Tekstas"/>
      </w:pPr>
      <w:r w:rsidRPr="00C86DD7">
        <w:t>https://www.sciencedirect.com/science/article/pii/S1752929818300884</w:t>
      </w:r>
      <w:r>
        <w:t>:</w:t>
      </w:r>
    </w:p>
    <w:p w14:paraId="381F5344" w14:textId="1B94198E" w:rsidR="009947A7" w:rsidRDefault="00C86DD7" w:rsidP="007A6287">
      <w:pPr>
        <w:pStyle w:val="Tekstas"/>
      </w:pPr>
      <w:r>
        <w:t xml:space="preserve">Since 4 November 2014 no ASM scalar data are available for Swarm Charlie due to a fatal instrument failure (of the main ASM instrument during launch, and of the spare instrument about one year later). </w:t>
      </w:r>
      <w:r>
        <w:lastRenderedPageBreak/>
        <w:t>The in-orbit failure of the ASM as been unequivocally related to high-energy radiation impact. However, there is a suitable work-around, in the sense that routine calibration of the magnetometer package on Swarm Charlie is now performed using ASM data taken by the close-by flying Alpha satellite.</w:t>
      </w:r>
    </w:p>
    <w:p w14:paraId="491E0AC3" w14:textId="77777777" w:rsidR="00C86DD7" w:rsidRDefault="00C86DD7" w:rsidP="007A6287">
      <w:pPr>
        <w:pStyle w:val="Tekstas"/>
      </w:pPr>
    </w:p>
    <w:p w14:paraId="446C64E0" w14:textId="77777777" w:rsidR="00C86DD7" w:rsidRDefault="00C86DD7" w:rsidP="007A6287">
      <w:pPr>
        <w:pStyle w:val="Tekstas"/>
      </w:pPr>
    </w:p>
    <w:p w14:paraId="37CB6949" w14:textId="77777777" w:rsidR="00C86DD7" w:rsidRDefault="00C86DD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1"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4AA53D44" w:rsidR="009947A7" w:rsidRDefault="00000000" w:rsidP="007A6287">
      <w:pPr>
        <w:pStyle w:val="Tekstas"/>
      </w:pPr>
      <w:hyperlink r:id="rId22" w:anchor="Sec8" w:history="1">
        <w:r w:rsidR="00132B5F" w:rsidRPr="00DB5EA2">
          <w:rPr>
            <w:rStyle w:val="Hyperlink"/>
          </w:rPr>
          <w:t>https://link.springer.com/article/10.1007/s11214-022-00916-0#Sec8</w:t>
        </w:r>
      </w:hyperlink>
    </w:p>
    <w:p w14:paraId="353281EA" w14:textId="77777777" w:rsidR="00132B5F" w:rsidRDefault="00132B5F" w:rsidP="007A6287">
      <w:pPr>
        <w:pStyle w:val="Tekstas"/>
      </w:pPr>
    </w:p>
    <w:p w14:paraId="7BD620C0" w14:textId="77777777" w:rsidR="00132B5F" w:rsidRDefault="00132B5F" w:rsidP="007A6287">
      <w:pPr>
        <w:pStyle w:val="Tekstas"/>
      </w:pPr>
    </w:p>
    <w:p w14:paraId="10505FDB" w14:textId="5294281A" w:rsidR="00132B5F" w:rsidRDefault="00132B5F" w:rsidP="007A6287">
      <w:pPr>
        <w:pStyle w:val="Tekstas"/>
      </w:pPr>
      <w:r>
        <w:t>kazkiok github gal API:</w:t>
      </w:r>
    </w:p>
    <w:p w14:paraId="004AE031" w14:textId="79857C11" w:rsidR="00132B5F" w:rsidRDefault="00000000" w:rsidP="007A6287">
      <w:pPr>
        <w:pStyle w:val="Tekstas"/>
      </w:pPr>
      <w:hyperlink r:id="rId23" w:history="1">
        <w:r w:rsidR="00132B5F" w:rsidRPr="00DB5EA2">
          <w:rPr>
            <w:rStyle w:val="Hyperlink"/>
          </w:rPr>
          <w:t>https://github.com/klaundal/pyAMPS</w:t>
        </w:r>
      </w:hyperlink>
    </w:p>
    <w:p w14:paraId="6E4FC5A3" w14:textId="77777777" w:rsidR="00132B5F" w:rsidRDefault="00132B5F" w:rsidP="007A6287">
      <w:pPr>
        <w:pStyle w:val="Tekstas"/>
      </w:pPr>
    </w:p>
    <w:p w14:paraId="38EC32AC" w14:textId="4BD5C3FE" w:rsidR="00132B5F" w:rsidRDefault="00000000" w:rsidP="007A6287">
      <w:pPr>
        <w:pStyle w:val="Tekstas"/>
      </w:pPr>
      <w:hyperlink r:id="rId24" w:history="1">
        <w:r w:rsidR="00132B5F" w:rsidRPr="00DB5EA2">
          <w:rPr>
            <w:rStyle w:val="Hyperlink"/>
          </w:rPr>
          <w:t>https://earth.esa.int/eogateway/tools/vires-for-swarm</w:t>
        </w:r>
      </w:hyperlink>
    </w:p>
    <w:p w14:paraId="2FB7CD8B" w14:textId="77777777" w:rsidR="00132B5F" w:rsidRDefault="00132B5F" w:rsidP="007A6287">
      <w:pPr>
        <w:pStyle w:val="Tekstas"/>
      </w:pPr>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5" w:name="_Toc150521396"/>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521397"/>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5"/>
      <w:footerReference w:type="first" r:id="rId2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634D" w14:textId="77777777" w:rsidR="002F14B6" w:rsidRDefault="002F14B6" w:rsidP="00703F96">
      <w:pPr>
        <w:spacing w:line="240" w:lineRule="auto"/>
      </w:pPr>
      <w:r>
        <w:separator/>
      </w:r>
    </w:p>
    <w:p w14:paraId="6366308D" w14:textId="77777777" w:rsidR="002F14B6" w:rsidRDefault="002F14B6"/>
    <w:p w14:paraId="6261782C" w14:textId="77777777" w:rsidR="002F14B6" w:rsidRDefault="002F14B6"/>
    <w:p w14:paraId="504C1FDA" w14:textId="77777777" w:rsidR="002F14B6" w:rsidRDefault="002F14B6"/>
  </w:endnote>
  <w:endnote w:type="continuationSeparator" w:id="0">
    <w:p w14:paraId="1D13A666" w14:textId="77777777" w:rsidR="002F14B6" w:rsidRDefault="002F14B6" w:rsidP="00703F96">
      <w:pPr>
        <w:spacing w:line="240" w:lineRule="auto"/>
      </w:pPr>
      <w:r>
        <w:continuationSeparator/>
      </w:r>
    </w:p>
    <w:p w14:paraId="15E36056" w14:textId="77777777" w:rsidR="002F14B6" w:rsidRDefault="002F14B6"/>
    <w:p w14:paraId="4EF38F72" w14:textId="77777777" w:rsidR="002F14B6" w:rsidRDefault="002F14B6"/>
    <w:p w14:paraId="70D2D7D6" w14:textId="77777777" w:rsidR="002F14B6" w:rsidRDefault="002F14B6"/>
  </w:endnote>
  <w:endnote w:type="continuationNotice" w:id="1">
    <w:p w14:paraId="4FB5B02E" w14:textId="77777777" w:rsidR="002F14B6" w:rsidRDefault="002F14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E8B3" w14:textId="77777777" w:rsidR="002F14B6" w:rsidRDefault="002F14B6" w:rsidP="00703F96">
      <w:pPr>
        <w:spacing w:line="240" w:lineRule="auto"/>
      </w:pPr>
      <w:r>
        <w:separator/>
      </w:r>
    </w:p>
  </w:footnote>
  <w:footnote w:type="continuationSeparator" w:id="0">
    <w:p w14:paraId="22D139DD" w14:textId="77777777" w:rsidR="002F14B6" w:rsidRDefault="002F14B6" w:rsidP="00703F96">
      <w:pPr>
        <w:spacing w:line="240" w:lineRule="auto"/>
      </w:pPr>
      <w:r>
        <w:continuationSeparator/>
      </w:r>
    </w:p>
    <w:p w14:paraId="4FA587BC" w14:textId="77777777" w:rsidR="002F14B6" w:rsidRDefault="002F14B6"/>
    <w:p w14:paraId="1C5516D5" w14:textId="77777777" w:rsidR="002F14B6" w:rsidRDefault="002F14B6"/>
    <w:p w14:paraId="0759B390" w14:textId="77777777" w:rsidR="002F14B6" w:rsidRDefault="002F14B6"/>
  </w:footnote>
  <w:footnote w:type="continuationNotice" w:id="1">
    <w:p w14:paraId="17BAB8B2" w14:textId="77777777" w:rsidR="002F14B6" w:rsidRDefault="002F14B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0BF9"/>
    <w:rsid w:val="00051987"/>
    <w:rsid w:val="00053A41"/>
    <w:rsid w:val="00055186"/>
    <w:rsid w:val="00055FA6"/>
    <w:rsid w:val="000560C7"/>
    <w:rsid w:val="000564D4"/>
    <w:rsid w:val="000565A3"/>
    <w:rsid w:val="0006080C"/>
    <w:rsid w:val="00067E95"/>
    <w:rsid w:val="000708D2"/>
    <w:rsid w:val="00074831"/>
    <w:rsid w:val="00074B6E"/>
    <w:rsid w:val="00075AC6"/>
    <w:rsid w:val="00076BD9"/>
    <w:rsid w:val="00076FBB"/>
    <w:rsid w:val="000800E9"/>
    <w:rsid w:val="00085943"/>
    <w:rsid w:val="00086029"/>
    <w:rsid w:val="00087B46"/>
    <w:rsid w:val="000908F6"/>
    <w:rsid w:val="0009147A"/>
    <w:rsid w:val="0009614C"/>
    <w:rsid w:val="000A483E"/>
    <w:rsid w:val="000B2736"/>
    <w:rsid w:val="000B3B42"/>
    <w:rsid w:val="000B4545"/>
    <w:rsid w:val="000B57CF"/>
    <w:rsid w:val="000C0F8A"/>
    <w:rsid w:val="000C163C"/>
    <w:rsid w:val="000C1979"/>
    <w:rsid w:val="000C1C2C"/>
    <w:rsid w:val="000C1E44"/>
    <w:rsid w:val="000C241A"/>
    <w:rsid w:val="000C4D2B"/>
    <w:rsid w:val="000C7B21"/>
    <w:rsid w:val="000C7CA8"/>
    <w:rsid w:val="000D01FD"/>
    <w:rsid w:val="000D42B9"/>
    <w:rsid w:val="000D437E"/>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057CE"/>
    <w:rsid w:val="00112DF8"/>
    <w:rsid w:val="00113318"/>
    <w:rsid w:val="001148B6"/>
    <w:rsid w:val="00115D50"/>
    <w:rsid w:val="00125CEC"/>
    <w:rsid w:val="00126355"/>
    <w:rsid w:val="001269EB"/>
    <w:rsid w:val="00127FED"/>
    <w:rsid w:val="00132552"/>
    <w:rsid w:val="00132B5F"/>
    <w:rsid w:val="00132D76"/>
    <w:rsid w:val="00134E28"/>
    <w:rsid w:val="00136120"/>
    <w:rsid w:val="00142381"/>
    <w:rsid w:val="0014381A"/>
    <w:rsid w:val="00144050"/>
    <w:rsid w:val="001467DB"/>
    <w:rsid w:val="00146A8F"/>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72463"/>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4EE5"/>
    <w:rsid w:val="001C6670"/>
    <w:rsid w:val="001C6930"/>
    <w:rsid w:val="001D1B91"/>
    <w:rsid w:val="001D1DE5"/>
    <w:rsid w:val="001D32A9"/>
    <w:rsid w:val="001D3484"/>
    <w:rsid w:val="001D5C81"/>
    <w:rsid w:val="001D61EB"/>
    <w:rsid w:val="001E128D"/>
    <w:rsid w:val="001E1EC3"/>
    <w:rsid w:val="001E231C"/>
    <w:rsid w:val="001E2CD5"/>
    <w:rsid w:val="001E3B1D"/>
    <w:rsid w:val="001E4027"/>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096B"/>
    <w:rsid w:val="002141C1"/>
    <w:rsid w:val="00214BB1"/>
    <w:rsid w:val="002203F2"/>
    <w:rsid w:val="002213E1"/>
    <w:rsid w:val="00223D17"/>
    <w:rsid w:val="002249C1"/>
    <w:rsid w:val="00225C72"/>
    <w:rsid w:val="0023340E"/>
    <w:rsid w:val="00233667"/>
    <w:rsid w:val="00235896"/>
    <w:rsid w:val="00236C7B"/>
    <w:rsid w:val="00243138"/>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1EC2"/>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4255"/>
    <w:rsid w:val="002C4349"/>
    <w:rsid w:val="002C4733"/>
    <w:rsid w:val="002C5F0F"/>
    <w:rsid w:val="002C61BE"/>
    <w:rsid w:val="002C7063"/>
    <w:rsid w:val="002C7D6B"/>
    <w:rsid w:val="002D0564"/>
    <w:rsid w:val="002D10A9"/>
    <w:rsid w:val="002D3704"/>
    <w:rsid w:val="002E0204"/>
    <w:rsid w:val="002E16C3"/>
    <w:rsid w:val="002E6941"/>
    <w:rsid w:val="002F0C7B"/>
    <w:rsid w:val="002F0FE1"/>
    <w:rsid w:val="002F14B6"/>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56A70"/>
    <w:rsid w:val="00360BA0"/>
    <w:rsid w:val="0036186E"/>
    <w:rsid w:val="00362436"/>
    <w:rsid w:val="00362709"/>
    <w:rsid w:val="00364F57"/>
    <w:rsid w:val="00366625"/>
    <w:rsid w:val="003714F6"/>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17C3"/>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593C"/>
    <w:rsid w:val="003F7A47"/>
    <w:rsid w:val="00400547"/>
    <w:rsid w:val="00400BE6"/>
    <w:rsid w:val="00401B12"/>
    <w:rsid w:val="00401D60"/>
    <w:rsid w:val="00403187"/>
    <w:rsid w:val="004049EB"/>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1220"/>
    <w:rsid w:val="004A2A93"/>
    <w:rsid w:val="004A689F"/>
    <w:rsid w:val="004B177B"/>
    <w:rsid w:val="004B36F0"/>
    <w:rsid w:val="004B4A5F"/>
    <w:rsid w:val="004C4F03"/>
    <w:rsid w:val="004C54B1"/>
    <w:rsid w:val="004C7DB9"/>
    <w:rsid w:val="004D3A36"/>
    <w:rsid w:val="004D689B"/>
    <w:rsid w:val="004D7127"/>
    <w:rsid w:val="004E0355"/>
    <w:rsid w:val="004E0C24"/>
    <w:rsid w:val="004E1C7F"/>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335"/>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2ECE"/>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273AD"/>
    <w:rsid w:val="00631191"/>
    <w:rsid w:val="00632507"/>
    <w:rsid w:val="00633432"/>
    <w:rsid w:val="00637955"/>
    <w:rsid w:val="00643B40"/>
    <w:rsid w:val="00644910"/>
    <w:rsid w:val="0064569F"/>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C75D9"/>
    <w:rsid w:val="006C7CDD"/>
    <w:rsid w:val="006D12C5"/>
    <w:rsid w:val="006D4EF8"/>
    <w:rsid w:val="006D7A61"/>
    <w:rsid w:val="006E0E1B"/>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4FD4"/>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4A6B"/>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16AA"/>
    <w:rsid w:val="009F5254"/>
    <w:rsid w:val="009F631D"/>
    <w:rsid w:val="009F6345"/>
    <w:rsid w:val="009F65A4"/>
    <w:rsid w:val="009F6F81"/>
    <w:rsid w:val="00A0248C"/>
    <w:rsid w:val="00A02913"/>
    <w:rsid w:val="00A037C6"/>
    <w:rsid w:val="00A04445"/>
    <w:rsid w:val="00A04B69"/>
    <w:rsid w:val="00A1143B"/>
    <w:rsid w:val="00A1319B"/>
    <w:rsid w:val="00A1750F"/>
    <w:rsid w:val="00A20F14"/>
    <w:rsid w:val="00A22BFA"/>
    <w:rsid w:val="00A233E7"/>
    <w:rsid w:val="00A24DFE"/>
    <w:rsid w:val="00A25ADB"/>
    <w:rsid w:val="00A27551"/>
    <w:rsid w:val="00A27EB1"/>
    <w:rsid w:val="00A31D18"/>
    <w:rsid w:val="00A368FA"/>
    <w:rsid w:val="00A40101"/>
    <w:rsid w:val="00A40950"/>
    <w:rsid w:val="00A4246A"/>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52AEC"/>
    <w:rsid w:val="00B5325A"/>
    <w:rsid w:val="00B53C41"/>
    <w:rsid w:val="00B56ABD"/>
    <w:rsid w:val="00B57AF1"/>
    <w:rsid w:val="00B60CFC"/>
    <w:rsid w:val="00B620A5"/>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96B3E"/>
    <w:rsid w:val="00BA25EC"/>
    <w:rsid w:val="00BA2E0F"/>
    <w:rsid w:val="00BA470D"/>
    <w:rsid w:val="00BB00D6"/>
    <w:rsid w:val="00BB2EC3"/>
    <w:rsid w:val="00BB40C5"/>
    <w:rsid w:val="00BB4153"/>
    <w:rsid w:val="00BB41F5"/>
    <w:rsid w:val="00BB6608"/>
    <w:rsid w:val="00BC0193"/>
    <w:rsid w:val="00BC1B2B"/>
    <w:rsid w:val="00BC285C"/>
    <w:rsid w:val="00BC381A"/>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02FF"/>
    <w:rsid w:val="00C415FB"/>
    <w:rsid w:val="00C4177A"/>
    <w:rsid w:val="00C42DA0"/>
    <w:rsid w:val="00C456C3"/>
    <w:rsid w:val="00C477AB"/>
    <w:rsid w:val="00C51140"/>
    <w:rsid w:val="00C51E0C"/>
    <w:rsid w:val="00C51ECA"/>
    <w:rsid w:val="00C53805"/>
    <w:rsid w:val="00C70580"/>
    <w:rsid w:val="00C7084C"/>
    <w:rsid w:val="00C73AF4"/>
    <w:rsid w:val="00C76F67"/>
    <w:rsid w:val="00C776CB"/>
    <w:rsid w:val="00C8220C"/>
    <w:rsid w:val="00C83060"/>
    <w:rsid w:val="00C83520"/>
    <w:rsid w:val="00C851DE"/>
    <w:rsid w:val="00C8611C"/>
    <w:rsid w:val="00C86310"/>
    <w:rsid w:val="00C8689F"/>
    <w:rsid w:val="00C86DD7"/>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50FC"/>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175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5E4C"/>
    <w:rsid w:val="00E5679B"/>
    <w:rsid w:val="00E56D60"/>
    <w:rsid w:val="00E60E25"/>
    <w:rsid w:val="00E63BA3"/>
    <w:rsid w:val="00E71A36"/>
    <w:rsid w:val="00E72F45"/>
    <w:rsid w:val="00E76FF7"/>
    <w:rsid w:val="00E77182"/>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490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C79E8"/>
    <w:rsid w:val="00FD05E6"/>
    <w:rsid w:val="00FD0AE5"/>
    <w:rsid w:val="00FD1E84"/>
    <w:rsid w:val="00FD1ED4"/>
    <w:rsid w:val="00FD3A7E"/>
    <w:rsid w:val="00FD7816"/>
    <w:rsid w:val="00FE2F81"/>
    <w:rsid w:val="00FE30B4"/>
    <w:rsid w:val="00FE5413"/>
    <w:rsid w:val="00FF07E5"/>
    <w:rsid w:val="00FF0F75"/>
    <w:rsid w:val="00FF3956"/>
    <w:rsid w:val="00FF526E"/>
    <w:rsid w:val="00FF59FF"/>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495270000">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61451440">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arth-planets-space.springeropen.com/articles/10.5047/eps.2013.07.01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arth.esa.int/eogateway/tools/vires-for-swarm"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github.com/klaundal/pyAMP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ink.springer.com/article/10.1007/s11214-022-0091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9414</TotalTime>
  <Pages>21</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131</cp:revision>
  <cp:lastPrinted>2022-12-23T09:40:00Z</cp:lastPrinted>
  <dcterms:created xsi:type="dcterms:W3CDTF">2020-11-03T14:33:00Z</dcterms:created>
  <dcterms:modified xsi:type="dcterms:W3CDTF">2023-11-10T13:09:00Z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