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FB79A8F" w14:textId="72530AC7" w:rsidR="00AD4B7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156812" w:history="1">
        <w:r w:rsidR="00AD4B75" w:rsidRPr="000A2DBE">
          <w:rPr>
            <w:rStyle w:val="Hyperlink"/>
          </w:rPr>
          <w:t>Paveikslų sąrašas</w:t>
        </w:r>
        <w:r w:rsidR="00AD4B75">
          <w:rPr>
            <w:webHidden/>
          </w:rPr>
          <w:tab/>
        </w:r>
        <w:r w:rsidR="00AD4B75">
          <w:rPr>
            <w:webHidden/>
          </w:rPr>
          <w:fldChar w:fldCharType="begin"/>
        </w:r>
        <w:r w:rsidR="00AD4B75">
          <w:rPr>
            <w:webHidden/>
          </w:rPr>
          <w:instrText xml:space="preserve"> PAGEREF _Toc150156812 \h </w:instrText>
        </w:r>
        <w:r w:rsidR="00AD4B75">
          <w:rPr>
            <w:webHidden/>
          </w:rPr>
        </w:r>
        <w:r w:rsidR="00AD4B75">
          <w:rPr>
            <w:webHidden/>
          </w:rPr>
          <w:fldChar w:fldCharType="separate"/>
        </w:r>
        <w:r w:rsidR="00AD4B75">
          <w:rPr>
            <w:webHidden/>
          </w:rPr>
          <w:t>3</w:t>
        </w:r>
        <w:r w:rsidR="00AD4B75">
          <w:rPr>
            <w:webHidden/>
          </w:rPr>
          <w:fldChar w:fldCharType="end"/>
        </w:r>
      </w:hyperlink>
    </w:p>
    <w:p w14:paraId="71B156C8" w14:textId="5AAEBBD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3" w:history="1">
        <w:r w:rsidR="00AD4B75" w:rsidRPr="000A2DBE">
          <w:rPr>
            <w:rStyle w:val="Hyperlink"/>
          </w:rPr>
          <w:t>Santrumpų ir terminų sąrašas</w:t>
        </w:r>
        <w:r w:rsidR="00AD4B75">
          <w:rPr>
            <w:webHidden/>
          </w:rPr>
          <w:tab/>
        </w:r>
        <w:r w:rsidR="00AD4B75">
          <w:rPr>
            <w:webHidden/>
          </w:rPr>
          <w:fldChar w:fldCharType="begin"/>
        </w:r>
        <w:r w:rsidR="00AD4B75">
          <w:rPr>
            <w:webHidden/>
          </w:rPr>
          <w:instrText xml:space="preserve"> PAGEREF _Toc150156813 \h </w:instrText>
        </w:r>
        <w:r w:rsidR="00AD4B75">
          <w:rPr>
            <w:webHidden/>
          </w:rPr>
        </w:r>
        <w:r w:rsidR="00AD4B75">
          <w:rPr>
            <w:webHidden/>
          </w:rPr>
          <w:fldChar w:fldCharType="separate"/>
        </w:r>
        <w:r w:rsidR="00AD4B75">
          <w:rPr>
            <w:webHidden/>
          </w:rPr>
          <w:t>4</w:t>
        </w:r>
        <w:r w:rsidR="00AD4B75">
          <w:rPr>
            <w:webHidden/>
          </w:rPr>
          <w:fldChar w:fldCharType="end"/>
        </w:r>
      </w:hyperlink>
    </w:p>
    <w:p w14:paraId="3B5B3A28" w14:textId="32CE7DC6"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4" w:history="1">
        <w:r w:rsidR="00AD4B75" w:rsidRPr="000A2DBE">
          <w:rPr>
            <w:rStyle w:val="Hyperlink"/>
          </w:rPr>
          <w:t>Įvadas</w:t>
        </w:r>
        <w:r w:rsidR="00AD4B75">
          <w:rPr>
            <w:webHidden/>
          </w:rPr>
          <w:tab/>
        </w:r>
        <w:r w:rsidR="00AD4B75">
          <w:rPr>
            <w:webHidden/>
          </w:rPr>
          <w:fldChar w:fldCharType="begin"/>
        </w:r>
        <w:r w:rsidR="00AD4B75">
          <w:rPr>
            <w:webHidden/>
          </w:rPr>
          <w:instrText xml:space="preserve"> PAGEREF _Toc150156814 \h </w:instrText>
        </w:r>
        <w:r w:rsidR="00AD4B75">
          <w:rPr>
            <w:webHidden/>
          </w:rPr>
        </w:r>
        <w:r w:rsidR="00AD4B75">
          <w:rPr>
            <w:webHidden/>
          </w:rPr>
          <w:fldChar w:fldCharType="separate"/>
        </w:r>
        <w:r w:rsidR="00AD4B75">
          <w:rPr>
            <w:webHidden/>
          </w:rPr>
          <w:t>5</w:t>
        </w:r>
        <w:r w:rsidR="00AD4B75">
          <w:rPr>
            <w:webHidden/>
          </w:rPr>
          <w:fldChar w:fldCharType="end"/>
        </w:r>
      </w:hyperlink>
    </w:p>
    <w:p w14:paraId="35D2E1FB" w14:textId="555395F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5" w:history="1">
        <w:r w:rsidR="00AD4B75" w:rsidRPr="000A2DBE">
          <w:rPr>
            <w:rStyle w:val="Hyperlink"/>
          </w:rPr>
          <w:t>1.</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Kosmoso palydovai</w:t>
        </w:r>
        <w:r w:rsidR="00AD4B75">
          <w:rPr>
            <w:webHidden/>
          </w:rPr>
          <w:tab/>
        </w:r>
        <w:r w:rsidR="00AD4B75">
          <w:rPr>
            <w:webHidden/>
          </w:rPr>
          <w:fldChar w:fldCharType="begin"/>
        </w:r>
        <w:r w:rsidR="00AD4B75">
          <w:rPr>
            <w:webHidden/>
          </w:rPr>
          <w:instrText xml:space="preserve"> PAGEREF _Toc150156815 \h </w:instrText>
        </w:r>
        <w:r w:rsidR="00AD4B75">
          <w:rPr>
            <w:webHidden/>
          </w:rPr>
        </w:r>
        <w:r w:rsidR="00AD4B75">
          <w:rPr>
            <w:webHidden/>
          </w:rPr>
          <w:fldChar w:fldCharType="separate"/>
        </w:r>
        <w:r w:rsidR="00AD4B75">
          <w:rPr>
            <w:webHidden/>
          </w:rPr>
          <w:t>6</w:t>
        </w:r>
        <w:r w:rsidR="00AD4B75">
          <w:rPr>
            <w:webHidden/>
          </w:rPr>
          <w:fldChar w:fldCharType="end"/>
        </w:r>
      </w:hyperlink>
    </w:p>
    <w:p w14:paraId="76341EAA" w14:textId="4A56074F"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6" w:history="1">
        <w:r w:rsidR="00AD4B75" w:rsidRPr="000A2DBE">
          <w:rPr>
            <w:rStyle w:val="Hyperlink"/>
          </w:rPr>
          <w:t>2.</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Palydovo architektūra</w:t>
        </w:r>
        <w:r w:rsidR="00AD4B75">
          <w:rPr>
            <w:webHidden/>
          </w:rPr>
          <w:tab/>
        </w:r>
        <w:r w:rsidR="00AD4B75">
          <w:rPr>
            <w:webHidden/>
          </w:rPr>
          <w:fldChar w:fldCharType="begin"/>
        </w:r>
        <w:r w:rsidR="00AD4B75">
          <w:rPr>
            <w:webHidden/>
          </w:rPr>
          <w:instrText xml:space="preserve"> PAGEREF _Toc150156816 \h </w:instrText>
        </w:r>
        <w:r w:rsidR="00AD4B75">
          <w:rPr>
            <w:webHidden/>
          </w:rPr>
        </w:r>
        <w:r w:rsidR="00AD4B75">
          <w:rPr>
            <w:webHidden/>
          </w:rPr>
          <w:fldChar w:fldCharType="separate"/>
        </w:r>
        <w:r w:rsidR="00AD4B75">
          <w:rPr>
            <w:webHidden/>
          </w:rPr>
          <w:t>10</w:t>
        </w:r>
        <w:r w:rsidR="00AD4B75">
          <w:rPr>
            <w:webHidden/>
          </w:rPr>
          <w:fldChar w:fldCharType="end"/>
        </w:r>
      </w:hyperlink>
    </w:p>
    <w:p w14:paraId="488960B6" w14:textId="42D33524"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7" w:history="1">
        <w:r w:rsidR="00AD4B75" w:rsidRPr="000A2DBE">
          <w:rPr>
            <w:rStyle w:val="Hyperlink"/>
            <w:highlight w:val="yellow"/>
          </w:rPr>
          <w:t>3.</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highlight w:val="yellow"/>
          </w:rPr>
          <w:t>Realūs panaudojimai</w:t>
        </w:r>
        <w:r w:rsidR="00AD4B75">
          <w:rPr>
            <w:webHidden/>
          </w:rPr>
          <w:tab/>
        </w:r>
        <w:r w:rsidR="00AD4B75">
          <w:rPr>
            <w:webHidden/>
          </w:rPr>
          <w:fldChar w:fldCharType="begin"/>
        </w:r>
        <w:r w:rsidR="00AD4B75">
          <w:rPr>
            <w:webHidden/>
          </w:rPr>
          <w:instrText xml:space="preserve"> PAGEREF _Toc150156817 \h </w:instrText>
        </w:r>
        <w:r w:rsidR="00AD4B75">
          <w:rPr>
            <w:webHidden/>
          </w:rPr>
        </w:r>
        <w:r w:rsidR="00AD4B75">
          <w:rPr>
            <w:webHidden/>
          </w:rPr>
          <w:fldChar w:fldCharType="separate"/>
        </w:r>
        <w:r w:rsidR="00AD4B75">
          <w:rPr>
            <w:webHidden/>
          </w:rPr>
          <w:t>15</w:t>
        </w:r>
        <w:r w:rsidR="00AD4B75">
          <w:rPr>
            <w:webHidden/>
          </w:rPr>
          <w:fldChar w:fldCharType="end"/>
        </w:r>
      </w:hyperlink>
    </w:p>
    <w:p w14:paraId="594FF0D2" w14:textId="2200F0E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8" w:history="1">
        <w:r w:rsidR="00AD4B75" w:rsidRPr="000A2DBE">
          <w:rPr>
            <w:rStyle w:val="Hyperlink"/>
            <w:highlight w:val="yellow"/>
          </w:rPr>
          <w:t>Išvados</w:t>
        </w:r>
        <w:r w:rsidR="00AD4B75">
          <w:rPr>
            <w:webHidden/>
          </w:rPr>
          <w:tab/>
        </w:r>
        <w:r w:rsidR="00AD4B75">
          <w:rPr>
            <w:webHidden/>
          </w:rPr>
          <w:fldChar w:fldCharType="begin"/>
        </w:r>
        <w:r w:rsidR="00AD4B75">
          <w:rPr>
            <w:webHidden/>
          </w:rPr>
          <w:instrText xml:space="preserve"> PAGEREF _Toc150156818 \h </w:instrText>
        </w:r>
        <w:r w:rsidR="00AD4B75">
          <w:rPr>
            <w:webHidden/>
          </w:rPr>
        </w:r>
        <w:r w:rsidR="00AD4B75">
          <w:rPr>
            <w:webHidden/>
          </w:rPr>
          <w:fldChar w:fldCharType="separate"/>
        </w:r>
        <w:r w:rsidR="00AD4B75">
          <w:rPr>
            <w:webHidden/>
          </w:rPr>
          <w:t>16</w:t>
        </w:r>
        <w:r w:rsidR="00AD4B75">
          <w:rPr>
            <w:webHidden/>
          </w:rPr>
          <w:fldChar w:fldCharType="end"/>
        </w:r>
      </w:hyperlink>
    </w:p>
    <w:p w14:paraId="6AD685CC" w14:textId="21306C70"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9" w:history="1">
        <w:r w:rsidR="00AD4B75" w:rsidRPr="000A2DBE">
          <w:rPr>
            <w:rStyle w:val="Hyperlink"/>
            <w:highlight w:val="red"/>
          </w:rPr>
          <w:t>Literatūros sąrašas</w:t>
        </w:r>
        <w:r w:rsidR="00AD4B75">
          <w:rPr>
            <w:webHidden/>
          </w:rPr>
          <w:tab/>
        </w:r>
        <w:r w:rsidR="00AD4B75">
          <w:rPr>
            <w:webHidden/>
          </w:rPr>
          <w:fldChar w:fldCharType="begin"/>
        </w:r>
        <w:r w:rsidR="00AD4B75">
          <w:rPr>
            <w:webHidden/>
          </w:rPr>
          <w:instrText xml:space="preserve"> PAGEREF _Toc150156819 \h </w:instrText>
        </w:r>
        <w:r w:rsidR="00AD4B75">
          <w:rPr>
            <w:webHidden/>
          </w:rPr>
        </w:r>
        <w:r w:rsidR="00AD4B75">
          <w:rPr>
            <w:webHidden/>
          </w:rPr>
          <w:fldChar w:fldCharType="separate"/>
        </w:r>
        <w:r w:rsidR="00AD4B75">
          <w:rPr>
            <w:webHidden/>
          </w:rPr>
          <w:t>17</w:t>
        </w:r>
        <w:r w:rsidR="00AD4B75">
          <w:rPr>
            <w:webHidden/>
          </w:rPr>
          <w:fldChar w:fldCharType="end"/>
        </w:r>
      </w:hyperlink>
    </w:p>
    <w:p w14:paraId="19C825E7" w14:textId="42D7D75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156812"/>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156813"/>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Default="00AC681A" w:rsidP="008739B2">
      <w:pPr>
        <w:pStyle w:val="Tekstas"/>
        <w:rPr>
          <w:highlight w:val="yellow"/>
        </w:rPr>
      </w:pPr>
      <w:r w:rsidRPr="00404F95">
        <w:rPr>
          <w:highlight w:val="yellow"/>
        </w:rPr>
        <w:t>AOCS –</w:t>
      </w:r>
    </w:p>
    <w:p w14:paraId="597B5069" w14:textId="77777777" w:rsidR="007E4125" w:rsidRDefault="007E4125" w:rsidP="007E4125">
      <w:pPr>
        <w:pStyle w:val="Tekstas"/>
      </w:pPr>
      <w:r>
        <w:t>VFM (Vector Field Magnetometer)</w:t>
      </w:r>
    </w:p>
    <w:p w14:paraId="149955C0" w14:textId="77777777" w:rsidR="007E4125" w:rsidRPr="00404F95" w:rsidRDefault="007E4125" w:rsidP="008739B2">
      <w:pPr>
        <w:pStyle w:val="Tekstas"/>
        <w:rPr>
          <w:highlight w:val="yellow"/>
        </w:rPr>
      </w:pP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575E5CE7" w:rsidR="00D9413A" w:rsidRPr="00404F95" w:rsidRDefault="003B17C3" w:rsidP="0039105F">
      <w:pPr>
        <w:pStyle w:val="Tekstas"/>
      </w:pPr>
      <w:r w:rsidRPr="003B17C3">
        <w:rPr>
          <w:b/>
          <w:bCs/>
        </w:rPr>
        <w:t xml:space="preserve">1 Arcsecond </w:t>
      </w:r>
      <w:r w:rsidRPr="003B17C3">
        <w:t>is equal to exactly one thirtysix-hundredth arc degrees (1°/3600). In terms of radians (SI unit) this is π/648000 rad or approximately 4.848 137 x 10-6 rad.</w:t>
      </w:r>
      <w:r w:rsidR="00D9413A" w:rsidRPr="003B17C3">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156814"/>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156815"/>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412955B1"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BE0821">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02ABA14F"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BE0821">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156816"/>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3B60A4EB">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7BFF19A8" w:rsidR="00AC681A" w:rsidRDefault="00B37B16" w:rsidP="00B37B16">
      <w:pPr>
        <w:pStyle w:val="Caption"/>
      </w:pPr>
      <w:r>
        <w:fldChar w:fldCharType="begin"/>
      </w:r>
      <w:r>
        <w:instrText xml:space="preserve"> SEQ pav. \* ARABIC </w:instrText>
      </w:r>
      <w:r>
        <w:fldChar w:fldCharType="separate"/>
      </w:r>
      <w:bookmarkStart w:id="27" w:name="_Toc150156855"/>
      <w:r w:rsidR="00BE0821">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64F58E4A">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04058C3E"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BE0821">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5570D704">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5CA4408" w:rsidR="006D4EF8" w:rsidRDefault="0071417F" w:rsidP="0071417F">
      <w:pPr>
        <w:pStyle w:val="Caption"/>
      </w:pPr>
      <w:r>
        <w:fldChar w:fldCharType="begin"/>
      </w:r>
      <w:r>
        <w:instrText xml:space="preserve"> SEQ pav. \* ARABIC </w:instrText>
      </w:r>
      <w:r>
        <w:fldChar w:fldCharType="separate"/>
      </w:r>
      <w:bookmarkStart w:id="29" w:name="_Toc150156857"/>
      <w:r w:rsidR="00BE0821">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40CF5FDC" w:rsidR="00AF0D8F" w:rsidRPr="00404F95" w:rsidRDefault="00BF7580" w:rsidP="006B3CD2">
      <w:pPr>
        <w:pStyle w:val="Heading2"/>
      </w:pPr>
      <w:r w:rsidRPr="00404F95">
        <w:lastRenderedPageBreak/>
        <w:t xml:space="preserve">Pagrindinė </w:t>
      </w:r>
      <w:r w:rsidR="0064569F">
        <w:t>matavimos sistema</w:t>
      </w:r>
    </w:p>
    <w:p w14:paraId="21B81506" w14:textId="7F2FA2A5" w:rsidR="006254DD" w:rsidRDefault="007E4125" w:rsidP="00BF7580">
      <w:pPr>
        <w:pStyle w:val="Tekstas"/>
      </w:pPr>
      <w:r w:rsidRPr="007E4125">
        <w:t xml:space="preserve">Magnetometras </w:t>
      </w:r>
      <w:r>
        <w:t xml:space="preserve">tai </w:t>
      </w:r>
      <w:r w:rsidRPr="007E4125">
        <w:t>yra prietaisas, naudojamas magnetiniam laukui matuoti</w:t>
      </w:r>
      <w:r w:rsidR="00C1634D">
        <w:t xml:space="preserve"> –</w:t>
      </w:r>
      <w:r w:rsidRPr="007E4125">
        <w:t xml:space="preserve"> jo magnetin</w:t>
      </w:r>
      <w:r w:rsidR="00C1634D">
        <w:t>io</w:t>
      </w:r>
      <w:r w:rsidRPr="007E4125">
        <w:t xml:space="preserve"> stiprum</w:t>
      </w:r>
      <w:r w:rsidR="00C1634D">
        <w:t>o</w:t>
      </w:r>
      <w:r w:rsidRPr="007E4125">
        <w:t xml:space="preserve"> ir orientacij</w:t>
      </w:r>
      <w:r w:rsidR="00C1634D">
        <w:t>os sužinojimui</w:t>
      </w:r>
      <w:r w:rsidRPr="007E4125">
        <w:t>. Populiarus magnetometro pavyzdys būtų kompasas, naudojamas aplinkos magnetinio lauko (ty šiuo atveju žemės magnetinio lauko) krypčiai matuoti.</w:t>
      </w:r>
      <w:r w:rsidR="00364F57">
        <w:t xml:space="preserve"> Taip pat ir p</w:t>
      </w:r>
      <w:r w:rsidR="006254DD">
        <w:t xml:space="preserve">agrindinė </w:t>
      </w:r>
      <w:r w:rsidR="00DC34E7">
        <w:t xml:space="preserve">„Swarm“ </w:t>
      </w:r>
      <w:r w:rsidR="006254DD">
        <w:t>misijos užduotis – tiksliai išmatuoti magnetinį lauką atliekama d</w:t>
      </w:r>
      <w:r w:rsidR="006254DD" w:rsidRPr="00840C50">
        <w:t>viem prietaisais – skaliariniu prietaisu strėlės gale, kuris matuoja lauko stiprumą ir vektoriniu instrumentu strėlės viduryje, kuris matuoja lauko kryptį, naudojant žvaigždžių kameras tiksliai orientuoti palydovą.</w:t>
      </w:r>
      <w:r w:rsidR="006254DD">
        <w:t xml:space="preserve"> Todėl svarbu detaliai apžvegti šiuos prietaisus ir jų veikimo principus.</w:t>
      </w:r>
    </w:p>
    <w:p w14:paraId="686653BB" w14:textId="5FEC393C" w:rsidR="00840C50" w:rsidRDefault="00C7084C" w:rsidP="00C7084C">
      <w:pPr>
        <w:pStyle w:val="Heading3"/>
      </w:pPr>
      <w:r w:rsidRPr="00404F95">
        <w:t>Vector Field Magnetometer</w:t>
      </w:r>
    </w:p>
    <w:p w14:paraId="48CBBD62" w14:textId="77777777" w:rsidR="00D210DF" w:rsidRDefault="00BE0821" w:rsidP="00D210DF">
      <w:pPr>
        <w:pStyle w:val="Tekstas"/>
      </w:pPr>
      <w:r w:rsidRPr="00BE0821">
        <w:t>„Swarm“ palydovuose esantis vektorinis lauko magnetometras (</w:t>
      </w:r>
      <w:r>
        <w:t xml:space="preserve">angl. </w:t>
      </w:r>
      <w:r w:rsidRPr="00132B5F">
        <w:t xml:space="preserve">Vector Field Magnetometer </w:t>
      </w:r>
      <w:r>
        <w:t xml:space="preserve"> –</w:t>
      </w:r>
      <w:r w:rsidRPr="00BE0821">
        <w:t xml:space="preserve">VFM) yra pagrindinis misijos instrumentas. Jis </w:t>
      </w:r>
      <w:r>
        <w:t>iš</w:t>
      </w:r>
      <w:r w:rsidRPr="00BE0821">
        <w:t xml:space="preserve">gauna didelio tikslumo magnetinio lauko </w:t>
      </w:r>
      <w:r>
        <w:t>(</w:t>
      </w:r>
      <w:r w:rsidRPr="00BE0821">
        <w:t>lauko vektoriaus</w:t>
      </w:r>
      <w:r>
        <w:t>)</w:t>
      </w:r>
      <w:r w:rsidRPr="00BE0821">
        <w:t xml:space="preserve"> dydžio ir krypties matavimus. Vektoriaus orientaciją nustato žvaigždžių sekimo agregatas</w:t>
      </w:r>
      <w:r w:rsidR="002B15DE">
        <w:t xml:space="preserve"> sudarytas iš trijų optinių galvų</w:t>
      </w:r>
      <w:r w:rsidRPr="00BE0821">
        <w:t>, kuris pateikia padėties duomenis. Tiek VFM, tiek žvaigždžių sekimo įrenginiai (STR) yra ant itin stabilios konstrukcijos, vadinamos optiniu stendu, palydovo strėl</w:t>
      </w:r>
      <w:r>
        <w:t>ės viduryje</w:t>
      </w:r>
      <w:r w:rsidRPr="00BE0821">
        <w:t xml:space="preserve">. </w:t>
      </w:r>
      <w:r w:rsidR="00783112">
        <w:t>Šis p</w:t>
      </w:r>
      <w:r w:rsidRPr="00BE0821">
        <w:t>rietaisas buvo sukurtas ir pagamintas Danijos technikos universitete.</w:t>
      </w:r>
      <w:r w:rsidR="00D210DF">
        <w:t xml:space="preserve"> </w:t>
      </w:r>
      <w:r w:rsidR="00D210DF" w:rsidRPr="003B17C3">
        <w:t>Žvaigžd</w:t>
      </w:r>
      <w:r w:rsidR="00D210DF">
        <w:t xml:space="preserve">ių sekekliai yra </w:t>
      </w:r>
      <w:r w:rsidR="00D210DF" w:rsidRPr="003B17C3">
        <w:t>reikaling</w:t>
      </w:r>
      <w:r w:rsidR="00D210DF">
        <w:t>i</w:t>
      </w:r>
      <w:r w:rsidR="00D210DF" w:rsidRPr="003B17C3">
        <w:t xml:space="preserve"> norint atlikti itin tikslius padėties matavimus, kurių reikia norint tiksliai nustatyti lauko vektorių. Trys kameros galvutės blokai yra išdėstyti taip, kad </w:t>
      </w:r>
      <w:r w:rsidR="00D210DF">
        <w:t xml:space="preserve">matavimai </w:t>
      </w:r>
      <w:r w:rsidR="00D210DF" w:rsidRPr="003B17C3">
        <w:t xml:space="preserve">būtų 90° vienas nuo kito, kad vienu metu saulės arba mėnulio įsiskverbimo paveiktų tik vieną kameros galvutę. Kameros galvutėse yra šviesos slopinimo sistema, kuri sumažina šiluminius poslinkius, atsirandančius dėl kintančio saulės poveikio. </w:t>
      </w:r>
    </w:p>
    <w:p w14:paraId="63D67206" w14:textId="77777777" w:rsidR="006E0E1B" w:rsidRDefault="006E0E1B" w:rsidP="00132B5F">
      <w:pPr>
        <w:pStyle w:val="Tekstas"/>
      </w:pPr>
    </w:p>
    <w:p w14:paraId="4E7F9841" w14:textId="77777777" w:rsidR="006E0E1B" w:rsidRDefault="006E0E1B" w:rsidP="00132B5F">
      <w:pPr>
        <w:pStyle w:val="Tekstas"/>
      </w:pPr>
    </w:p>
    <w:p w14:paraId="47E540EB" w14:textId="4077C9A5" w:rsidR="003B17C3" w:rsidRDefault="003B17C3" w:rsidP="00132B5F">
      <w:pPr>
        <w:pStyle w:val="Tekstas"/>
      </w:pPr>
      <w:r w:rsidRPr="003B17C3">
        <w:t xml:space="preserve">Norint gauti tikslius matavimus, optinis stendas, kuriame yra vektoriaus lauko magnetometras, turėjo būti suprojektuotas taip, kad prietaisai būtų išlyginti iki </w:t>
      </w:r>
      <w:r>
        <w:t>arksekundės</w:t>
      </w:r>
      <w:r w:rsidRPr="003B17C3">
        <w:t>. Tai yra aukšto lygio stabilumas ir buvo iššūkis projektavimo komandai, nes instrumentai turi atlaikyti didžiulius temperatūros svyravimus, kai palydovai patenka į saulės šviesą ir išeina iš jos.</w:t>
      </w:r>
      <w:r w:rsidR="00E05BA2">
        <w:t xml:space="preserve"> </w:t>
      </w:r>
      <w:r w:rsidR="00D210DF" w:rsidRPr="00D210DF">
        <w:t>Prietaisą sudaro neperteklinis kompaktiškos sferinės ritės</w:t>
      </w:r>
      <w:r w:rsidR="00D210DF">
        <w:t xml:space="preserve"> (angl. </w:t>
      </w:r>
      <w:r w:rsidR="00D210DF" w:rsidRPr="003B17C3">
        <w:rPr>
          <w:highlight w:val="yellow"/>
        </w:rPr>
        <w:t>Compact Spherical Coil</w:t>
      </w:r>
      <w:r w:rsidR="00D210DF">
        <w:t>)</w:t>
      </w:r>
      <w:r w:rsidR="00D210DF" w:rsidRPr="00D210DF">
        <w:t xml:space="preserve"> jutiklis ant strėlės, perteklinis duomenų apdorojimo blokas palydovo korpuse ir jungiamoji juosta su 12 metrų</w:t>
      </w:r>
      <w:r w:rsidR="00D210DF">
        <w:t xml:space="preserve"> ilgio ir</w:t>
      </w:r>
      <w:r w:rsidR="00D210DF" w:rsidRPr="00D210DF">
        <w:t xml:space="preserve"> 8 milimetrų skersmens kabeliu. Sferinė ritė, kuri sukuria homogeninį magnetinį lauką, sumontuota ant stabilios ir izotropinės mechaninės konstrukcijos. </w:t>
      </w:r>
      <w:r w:rsidR="00D069CB">
        <w:t xml:space="preserve">Patį </w:t>
      </w:r>
      <w:r w:rsidR="00D210DF" w:rsidRPr="00D210DF">
        <w:t>VFM jutiklį laiko perpjautas adapterio žiedas.</w:t>
      </w:r>
    </w:p>
    <w:p w14:paraId="1028439D" w14:textId="77777777" w:rsidR="003B17C3" w:rsidRDefault="003B17C3" w:rsidP="00132B5F">
      <w:pPr>
        <w:pStyle w:val="Tekstas"/>
      </w:pPr>
    </w:p>
    <w:p w14:paraId="6BF02654" w14:textId="0FEBE80D" w:rsidR="00BC5D0B" w:rsidRDefault="00BC5D0B" w:rsidP="00132B5F">
      <w:pPr>
        <w:pStyle w:val="Tekstas"/>
      </w:pPr>
      <w:r w:rsidRPr="00BC5D0B">
        <w:t xml:space="preserve">VFM (fluxgate tipo) yra pagrįstas </w:t>
      </w:r>
      <w:r w:rsidRPr="00BC5D0B">
        <w:rPr>
          <w:b/>
          <w:bCs/>
        </w:rPr>
        <w:t>fluxgate</w:t>
      </w:r>
      <w:r w:rsidRPr="00BC5D0B">
        <w:t xml:space="preserve"> keitikliu, naudojančiu žiedinę šerdį su amorfine magnetine medžiaga, kuri turi labai mažą triukšmą (10-20 pT rms). Jis pasižymi itin dideliu stabilumu &lt; 0,05 nT/met</w:t>
      </w:r>
      <w:r>
        <w:t>ai</w:t>
      </w:r>
      <w:r w:rsidRPr="00BC5D0B">
        <w:t xml:space="preserve">. VFM sudaro </w:t>
      </w:r>
      <w:r w:rsidR="00C053D3" w:rsidRPr="00BC5D0B">
        <w:t>neperteklinis</w:t>
      </w:r>
      <w:r w:rsidR="00C053D3" w:rsidRPr="00BC5D0B">
        <w:t xml:space="preserve"> </w:t>
      </w:r>
      <w:r w:rsidRPr="00BC5D0B">
        <w:t>CSC (Compact Spherical Coil) jutiklis, sumontuotas ant išskleidžiamos strėlės, vidinio perteklinio duomenų apdorojimo bloko (DPU) ir jungiamojo laido. Sferinės ritės, sukuriančios vienalytį vektorinį lauką sferos viduje, yra sumontuotos ant izotropinės ir itin stabilios mechaninės atramos. Grįžtamojo ryšio sąlygomis jutiklis naudojamas kaip nulinis įtaisas, o ritės vienareikšmiškai apibrėžia jutiklio magnetines ašis. VFM pasižymi dideliu tiesiškumu (&lt; 1ppm), komponento tikslumas yra 0,5 nT ir 50 pT kvadratinės vertės tikslumas.</w:t>
      </w:r>
    </w:p>
    <w:p w14:paraId="759D0672" w14:textId="77777777" w:rsidR="00BC5D0B" w:rsidRDefault="00BC5D0B" w:rsidP="00132B5F">
      <w:pPr>
        <w:pStyle w:val="Tekstas"/>
      </w:pPr>
    </w:p>
    <w:p w14:paraId="2B667C0B" w14:textId="77777777" w:rsidR="00BC5D0B" w:rsidRDefault="00BC5D0B" w:rsidP="00132B5F">
      <w:pPr>
        <w:pStyle w:val="Tekstas"/>
      </w:pPr>
    </w:p>
    <w:p w14:paraId="1209873C" w14:textId="77777777" w:rsidR="00BC5D0B" w:rsidRDefault="00BC5D0B" w:rsidP="00132B5F">
      <w:pPr>
        <w:pStyle w:val="Tekstas"/>
      </w:pPr>
    </w:p>
    <w:p w14:paraId="18F0F23D" w14:textId="77777777" w:rsidR="00BC5D0B" w:rsidRDefault="00BC5D0B" w:rsidP="00132B5F">
      <w:pPr>
        <w:pStyle w:val="Tekstas"/>
      </w:pPr>
    </w:p>
    <w:p w14:paraId="254965AF" w14:textId="5BBA7E53" w:rsidR="00132B5F" w:rsidRDefault="00132B5F" w:rsidP="00132B5F">
      <w:pPr>
        <w:pStyle w:val="Tekstas"/>
      </w:pPr>
      <w:r>
        <w:t>The symmetry of the positive and negative magnetic saturation levels of the ferromagnetic sensor core allow the operation of the fluxgate magnetometer by constantly probing the core saturation levels by a high frequency excitation magnetization current that enables the sensor to detect minute deviations from the zero field.</w:t>
      </w:r>
    </w:p>
    <w:p w14:paraId="0BCEB8A7" w14:textId="77777777" w:rsidR="00132B5F" w:rsidRDefault="00132B5F" w:rsidP="00132B5F">
      <w:pPr>
        <w:pStyle w:val="Tekstas"/>
      </w:pPr>
      <w:r>
        <w:t>Noise on the instrument is only a few Picotesla while VFM provides a long-term stability in the sub Nanotesla range.</w:t>
      </w:r>
    </w:p>
    <w:p w14:paraId="148E9C7D" w14:textId="77777777" w:rsidR="00132B5F" w:rsidRDefault="00132B5F" w:rsidP="00132B5F">
      <w:pPr>
        <w:pStyle w:val="Tekstas"/>
      </w:pPr>
    </w:p>
    <w:p w14:paraId="2BE9AA91" w14:textId="3E161544" w:rsidR="00132B5F" w:rsidRDefault="00132B5F" w:rsidP="00132B5F">
      <w:pPr>
        <w:pStyle w:val="Tekstas"/>
      </w:pPr>
      <w:r>
        <w:t>The VFM is an analogue instrument and as such is subject to temporal changes due to radiation and the aging effect of electronics. The effects are only significant in the bias and linear scale parameters of the characterisation; hence these parameters are estimated daily through a comparison of the VFM output with the Absolute Scalar Magnetometer output. Additionally, the non-orthogonality angles of the VFM sensor may also be estimated in this process. The allowed change from day to day in the parameters is controlled group-wise by weight parameters specified in the CCDB. The parameters estimated daily are stored in a Temporal Calibration File (TCF) as an auxiliary data product.</w:t>
      </w:r>
    </w:p>
    <w:p w14:paraId="6BB7D697" w14:textId="77777777" w:rsidR="00132B5F" w:rsidRDefault="00132B5F" w:rsidP="00BF7580">
      <w:pPr>
        <w:pStyle w:val="Tekstas"/>
      </w:pPr>
    </w:p>
    <w:p w14:paraId="34D393AD" w14:textId="24CBE6EB" w:rsidR="00223D17" w:rsidRDefault="00223D17" w:rsidP="00BF7580">
      <w:pPr>
        <w:pStyle w:val="Tekstas"/>
        <w:rPr>
          <w:noProof/>
        </w:rPr>
      </w:pPr>
    </w:p>
    <w:p w14:paraId="2355DF0B" w14:textId="77777777" w:rsidR="00132B5F" w:rsidRDefault="00132B5F" w:rsidP="00BF7580">
      <w:pPr>
        <w:pStyle w:val="Tekstas"/>
        <w:rPr>
          <w:noProof/>
        </w:rPr>
      </w:pPr>
    </w:p>
    <w:p w14:paraId="7D111C8F" w14:textId="77777777" w:rsidR="00132B5F" w:rsidRDefault="00132B5F" w:rsidP="00BF7580">
      <w:pPr>
        <w:pStyle w:val="Tekstas"/>
        <w:rPr>
          <w:noProof/>
        </w:rPr>
      </w:pPr>
    </w:p>
    <w:p w14:paraId="08DF4DFB" w14:textId="77777777" w:rsidR="00BE0821" w:rsidRDefault="00132B5F" w:rsidP="00BE0821">
      <w:pPr>
        <w:pStyle w:val="Tekstas"/>
        <w:keepNext/>
      </w:pPr>
      <w:r>
        <w:rPr>
          <w:noProof/>
        </w:rPr>
        <w:lastRenderedPageBreak/>
        <w:drawing>
          <wp:inline distT="0" distB="0" distL="0" distR="0" wp14:anchorId="2058C089" wp14:editId="4D735436">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4B9BF4FC" w14:textId="4621B953" w:rsidR="00132B5F" w:rsidRDefault="00BE0821" w:rsidP="00BE0821">
      <w:pPr>
        <w:pStyle w:val="Caption"/>
        <w:jc w:val="both"/>
      </w:pPr>
      <w:r>
        <w:fldChar w:fldCharType="begin"/>
      </w:r>
      <w:r>
        <w:instrText xml:space="preserve"> SEQ pav. \* ARABIC </w:instrText>
      </w:r>
      <w:r>
        <w:fldChar w:fldCharType="separate"/>
      </w:r>
      <w:r>
        <w:rPr>
          <w:noProof/>
        </w:rPr>
        <w:t>6</w:t>
      </w:r>
      <w:r>
        <w:fldChar w:fldCharType="end"/>
      </w:r>
      <w:r w:rsidR="002B15DE">
        <w:t xml:space="preserve"> pav.</w:t>
      </w:r>
    </w:p>
    <w:p w14:paraId="790F483D" w14:textId="77777777" w:rsidR="0006080C" w:rsidRDefault="0006080C" w:rsidP="0006080C">
      <w:pPr>
        <w:pStyle w:val="Tekstas"/>
      </w:pPr>
    </w:p>
    <w:p w14:paraId="49A531F2" w14:textId="77777777" w:rsidR="0006080C" w:rsidRDefault="0006080C" w:rsidP="0006080C">
      <w:pPr>
        <w:pStyle w:val="Tekstas"/>
      </w:pPr>
    </w:p>
    <w:p w14:paraId="1FA54377" w14:textId="77777777" w:rsidR="0006080C" w:rsidRDefault="0006080C" w:rsidP="0006080C">
      <w:pPr>
        <w:pStyle w:val="Tekstas"/>
      </w:pPr>
    </w:p>
    <w:p w14:paraId="2219F177" w14:textId="77777777" w:rsidR="0006080C" w:rsidRDefault="0006080C" w:rsidP="0006080C">
      <w:pPr>
        <w:pStyle w:val="Tekstas"/>
      </w:pPr>
      <w:r>
        <w:t>The operation of the fluxgate sensor is based on the extreme symmetry of the positive and negative magnetic saturation levels of the ferromagnetic sensor core material. Continuous probing of the core saturation levels by a high frequency excitation magnetization current enables the sensor to detect deviations from the zero field with only tens of pT noise and sub-nT long term stability.</w:t>
      </w:r>
    </w:p>
    <w:p w14:paraId="585135C6" w14:textId="77777777" w:rsidR="0006080C" w:rsidRDefault="0006080C" w:rsidP="0006080C">
      <w:pPr>
        <w:pStyle w:val="Tekstas"/>
      </w:pPr>
    </w:p>
    <w:p w14:paraId="46666531" w14:textId="3E88DB13" w:rsidR="00132B5F" w:rsidRDefault="0006080C" w:rsidP="0006080C">
      <w:pPr>
        <w:pStyle w:val="Tekstas"/>
      </w:pPr>
      <w:r>
        <w:t>The mounting of the VFM sensor is using a sliced adaptor ring. The optical bench ensures mechanical stability of the system. Three star trackers provide full accuracy attitude.</w:t>
      </w:r>
    </w:p>
    <w:p w14:paraId="121603D5" w14:textId="77777777" w:rsidR="00223D17" w:rsidRDefault="00223D17" w:rsidP="00BF7580">
      <w:pPr>
        <w:pStyle w:val="Tekstas"/>
      </w:pPr>
    </w:p>
    <w:p w14:paraId="49F7887F" w14:textId="77777777" w:rsidR="00223D17" w:rsidRDefault="00223D17" w:rsidP="00BF7580">
      <w:pPr>
        <w:pStyle w:val="Tekstas"/>
      </w:pPr>
    </w:p>
    <w:p w14:paraId="18A45E2B" w14:textId="77777777" w:rsidR="00132B5F" w:rsidRDefault="00132B5F" w:rsidP="00BF7580">
      <w:pPr>
        <w:pStyle w:val="Tekstas"/>
      </w:pPr>
    </w:p>
    <w:p w14:paraId="1F60D3F3" w14:textId="4ACFE689" w:rsidR="00132B5F" w:rsidRDefault="00132B5F" w:rsidP="00BF7580">
      <w:pPr>
        <w:pStyle w:val="Tekstas"/>
      </w:pPr>
      <w:r w:rsidRPr="00132B5F">
        <w:t>• VFM (Vector Field Magnetometer): The VFMs are healthy and producing data at 50 Hz in all three spacecraft.</w:t>
      </w:r>
    </w:p>
    <w:p w14:paraId="5740768E" w14:textId="77777777" w:rsidR="00132B5F" w:rsidRDefault="00132B5F" w:rsidP="00BF7580">
      <w:pPr>
        <w:pStyle w:val="Tekstas"/>
      </w:pPr>
    </w:p>
    <w:p w14:paraId="28ED583D" w14:textId="77777777" w:rsidR="00132B5F" w:rsidRDefault="00132B5F" w:rsidP="00BF7580">
      <w:pPr>
        <w:pStyle w:val="Tekstas"/>
      </w:pPr>
    </w:p>
    <w:p w14:paraId="37B48AD5" w14:textId="77777777" w:rsidR="00132B5F" w:rsidRDefault="00132B5F" w:rsidP="00BF7580">
      <w:pPr>
        <w:pStyle w:val="Tekstas"/>
      </w:pPr>
    </w:p>
    <w:p w14:paraId="199E3F06" w14:textId="77777777" w:rsidR="00132B5F" w:rsidRDefault="00132B5F" w:rsidP="00BF7580">
      <w:pPr>
        <w:pStyle w:val="Tekstas"/>
      </w:pPr>
    </w:p>
    <w:p w14:paraId="660AD0A6" w14:textId="77777777" w:rsidR="00132B5F" w:rsidRDefault="00132B5F" w:rsidP="00BF7580">
      <w:pPr>
        <w:pStyle w:val="Tekstas"/>
      </w:pPr>
    </w:p>
    <w:p w14:paraId="60C8818D" w14:textId="77777777" w:rsidR="00132B5F" w:rsidRPr="00404F95" w:rsidRDefault="00132B5F" w:rsidP="00BF7580">
      <w:pPr>
        <w:pStyle w:val="Tekstas"/>
      </w:pPr>
    </w:p>
    <w:p w14:paraId="4AD11756" w14:textId="425B95D6" w:rsidR="007A6565" w:rsidRPr="00404F95" w:rsidRDefault="00C7084C" w:rsidP="00C7084C">
      <w:pPr>
        <w:pStyle w:val="Heading3"/>
      </w:pPr>
      <w:r w:rsidRPr="00404F95">
        <w:t>Absolute Scalar Magnetometer</w:t>
      </w: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30" w:name="_Toc150156817"/>
      <w:r w:rsidRPr="00404F95">
        <w:rPr>
          <w:highlight w:val="yellow"/>
        </w:rPr>
        <w:lastRenderedPageBreak/>
        <w:t>Realūs panaudojimai</w:t>
      </w:r>
      <w:bookmarkEnd w:id="30"/>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000000" w:rsidP="007A6287">
      <w:pPr>
        <w:pStyle w:val="Tekstas"/>
      </w:pPr>
      <w:hyperlink r:id="rId21" w:anchor="Sec8" w:history="1">
        <w:r w:rsidR="00132B5F"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000000" w:rsidP="007A6287">
      <w:pPr>
        <w:pStyle w:val="Tekstas"/>
      </w:pPr>
      <w:hyperlink r:id="rId22" w:history="1">
        <w:r w:rsidR="00132B5F"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000000" w:rsidP="007A6287">
      <w:pPr>
        <w:pStyle w:val="Tekstas"/>
      </w:pPr>
      <w:hyperlink r:id="rId23" w:history="1">
        <w:r w:rsidR="00132B5F"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156818"/>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156819"/>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4"/>
      <w:footerReference w:type="first" r:id="rId2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4A43" w14:textId="77777777" w:rsidR="00D01459" w:rsidRDefault="00D01459" w:rsidP="00703F96">
      <w:pPr>
        <w:spacing w:line="240" w:lineRule="auto"/>
      </w:pPr>
      <w:r>
        <w:separator/>
      </w:r>
    </w:p>
    <w:p w14:paraId="7B25DCCE" w14:textId="77777777" w:rsidR="00D01459" w:rsidRDefault="00D01459"/>
    <w:p w14:paraId="7694BD53" w14:textId="77777777" w:rsidR="00D01459" w:rsidRDefault="00D01459"/>
    <w:p w14:paraId="433007F9" w14:textId="77777777" w:rsidR="00D01459" w:rsidRDefault="00D01459"/>
  </w:endnote>
  <w:endnote w:type="continuationSeparator" w:id="0">
    <w:p w14:paraId="5B688D8F" w14:textId="77777777" w:rsidR="00D01459" w:rsidRDefault="00D01459" w:rsidP="00703F96">
      <w:pPr>
        <w:spacing w:line="240" w:lineRule="auto"/>
      </w:pPr>
      <w:r>
        <w:continuationSeparator/>
      </w:r>
    </w:p>
    <w:p w14:paraId="550B8D3A" w14:textId="77777777" w:rsidR="00D01459" w:rsidRDefault="00D01459"/>
    <w:p w14:paraId="3735C196" w14:textId="77777777" w:rsidR="00D01459" w:rsidRDefault="00D01459"/>
    <w:p w14:paraId="24507754" w14:textId="77777777" w:rsidR="00D01459" w:rsidRDefault="00D01459"/>
  </w:endnote>
  <w:endnote w:type="continuationNotice" w:id="1">
    <w:p w14:paraId="6A1560DD" w14:textId="77777777" w:rsidR="00D01459" w:rsidRDefault="00D014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9C0A" w14:textId="77777777" w:rsidR="00D01459" w:rsidRDefault="00D01459" w:rsidP="00703F96">
      <w:pPr>
        <w:spacing w:line="240" w:lineRule="auto"/>
      </w:pPr>
      <w:r>
        <w:separator/>
      </w:r>
    </w:p>
  </w:footnote>
  <w:footnote w:type="continuationSeparator" w:id="0">
    <w:p w14:paraId="4910BD71" w14:textId="77777777" w:rsidR="00D01459" w:rsidRDefault="00D01459" w:rsidP="00703F96">
      <w:pPr>
        <w:spacing w:line="240" w:lineRule="auto"/>
      </w:pPr>
      <w:r>
        <w:continuationSeparator/>
      </w:r>
    </w:p>
    <w:p w14:paraId="224082C0" w14:textId="77777777" w:rsidR="00D01459" w:rsidRDefault="00D01459"/>
    <w:p w14:paraId="1FE4CC67" w14:textId="77777777" w:rsidR="00D01459" w:rsidRDefault="00D01459"/>
    <w:p w14:paraId="27825E4A" w14:textId="77777777" w:rsidR="00D01459" w:rsidRDefault="00D01459"/>
  </w:footnote>
  <w:footnote w:type="continuationNotice" w:id="1">
    <w:p w14:paraId="66A14FDC" w14:textId="77777777" w:rsidR="00D01459" w:rsidRDefault="00D0145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080C"/>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B5F"/>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32A9"/>
    <w:rsid w:val="001D3484"/>
    <w:rsid w:val="001D5C81"/>
    <w:rsid w:val="001D61EB"/>
    <w:rsid w:val="001E128D"/>
    <w:rsid w:val="001E1EC3"/>
    <w:rsid w:val="001E231C"/>
    <w:rsid w:val="001E3B1D"/>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41C1"/>
    <w:rsid w:val="00214BB1"/>
    <w:rsid w:val="002203F2"/>
    <w:rsid w:val="002213E1"/>
    <w:rsid w:val="00223D17"/>
    <w:rsid w:val="002249C1"/>
    <w:rsid w:val="00225C72"/>
    <w:rsid w:val="0023340E"/>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4F57"/>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3187"/>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31191"/>
    <w:rsid w:val="00632507"/>
    <w:rsid w:val="00633432"/>
    <w:rsid w:val="00637955"/>
    <w:rsid w:val="00643B40"/>
    <w:rsid w:val="00644910"/>
    <w:rsid w:val="0064569F"/>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5254"/>
    <w:rsid w:val="009F631D"/>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101"/>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1B2B"/>
    <w:rsid w:val="00BC285C"/>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084C"/>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nk.springer.com/article/10.1007/s11214-022-00916-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earth.esa.int/eogateway/tools/vires-for-swarm" TargetMode="Externa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github.com/klaundal/pyAM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8638</TotalTime>
  <Pages>21</Pages>
  <Words>4626</Words>
  <Characters>26372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94</cp:revision>
  <cp:lastPrinted>2022-12-23T09:40:00Z</cp:lastPrinted>
  <dcterms:created xsi:type="dcterms:W3CDTF">2020-11-03T14:33:00Z</dcterms:created>
  <dcterms:modified xsi:type="dcterms:W3CDTF">2023-11-08T21:53:00Z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