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Глобин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Символьные и численные данные в NASM</w:t>
      </w:r>
      <w:r>
        <w:br/>
      </w:r>
      <w:r>
        <w:t xml:space="preserve">Выполнение арифметических операций в NASM</w:t>
      </w:r>
      <w:r>
        <w:br/>
      </w:r>
      <w:r>
        <w:t xml:space="preserve">Ответы на вопросы</w:t>
      </w:r>
      <w:r>
        <w:br/>
      </w:r>
      <w:r>
        <w:t xml:space="preserve">Задание для самостоятельной работы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переходим в катал lab06 и создаём там файл lab6-1.asm (рис. 1).</w:t>
      </w:r>
    </w:p>
    <w:p>
      <w:pPr>
        <w:pStyle w:val="CaptionedFigure"/>
      </w:pPr>
      <w:r>
        <w:drawing>
          <wp:inline>
            <wp:extent cx="3733800" cy="509154"/>
            <wp:effectExtent b="0" l="0" r="0" t="0"/>
            <wp:docPr descr="photo 1" title="" id="23" name="Picture"/>
            <a:graphic>
              <a:graphicData uri="http://schemas.openxmlformats.org/drawingml/2006/picture">
                <pic:pic>
                  <pic:nvPicPr>
                    <pic:cNvPr descr="image/1-0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photo 1</w:t>
      </w:r>
    </w:p>
    <w:p>
      <w:pPr>
        <w:pStyle w:val="BodyText"/>
      </w:pPr>
      <w:r>
        <w:t xml:space="preserve">переписываем код программы из ТУИС (рис. 2).</w:t>
      </w:r>
    </w:p>
    <w:p>
      <w:pPr>
        <w:pStyle w:val="CaptionedFigure"/>
      </w:pPr>
      <w:r>
        <w:drawing>
          <wp:inline>
            <wp:extent cx="3733800" cy="1747453"/>
            <wp:effectExtent b="0" l="0" r="0" t="0"/>
            <wp:docPr descr="photo 2" title="" id="26" name="Picture"/>
            <a:graphic>
              <a:graphicData uri="http://schemas.openxmlformats.org/drawingml/2006/picture">
                <pic:pic>
                  <pic:nvPicPr>
                    <pic:cNvPr descr="image/2-0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photo 2</w:t>
      </w:r>
    </w:p>
    <w:p>
      <w:pPr>
        <w:pStyle w:val="BodyText"/>
      </w:pPr>
      <w:r>
        <w:t xml:space="preserve">компилируем и запускаем (рис. 3).</w:t>
      </w:r>
    </w:p>
    <w:p>
      <w:pPr>
        <w:pStyle w:val="CaptionedFigure"/>
      </w:pPr>
      <w:r>
        <w:drawing>
          <wp:inline>
            <wp:extent cx="3733800" cy="577431"/>
            <wp:effectExtent b="0" l="0" r="0" t="0"/>
            <wp:docPr descr="photo 3" title="" id="29" name="Picture"/>
            <a:graphic>
              <a:graphicData uri="http://schemas.openxmlformats.org/drawingml/2006/picture">
                <pic:pic>
                  <pic:nvPicPr>
                    <pic:cNvPr descr="image/3-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photo 3</w:t>
      </w:r>
    </w:p>
    <w:p>
      <w:pPr>
        <w:pStyle w:val="Compact"/>
        <w:numPr>
          <w:ilvl w:val="0"/>
          <w:numId w:val="1002"/>
        </w:numPr>
      </w:pPr>
      <w:r>
        <w:t xml:space="preserve">Далее изменим текст программы и вместо символов, запишем в регистры числа. (рис. 4).</w:t>
      </w:r>
    </w:p>
    <w:p>
      <w:pPr>
        <w:pStyle w:val="CaptionedFigure"/>
      </w:pPr>
      <w:r>
        <w:drawing>
          <wp:inline>
            <wp:extent cx="3289300" cy="3911600"/>
            <wp:effectExtent b="0" l="0" r="0" t="0"/>
            <wp:docPr descr="photo 4" title="" id="32" name="Picture"/>
            <a:graphic>
              <a:graphicData uri="http://schemas.openxmlformats.org/drawingml/2006/picture">
                <pic:pic>
                  <pic:nvPicPr>
                    <pic:cNvPr descr="image/4-0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photo 4</w:t>
      </w:r>
    </w:p>
    <w:p>
      <w:pPr>
        <w:pStyle w:val="BodyText"/>
      </w:pPr>
      <w:r>
        <w:t xml:space="preserve">компилируем и запускаем (рис. 5).</w:t>
      </w:r>
    </w:p>
    <w:p>
      <w:pPr>
        <w:pStyle w:val="CaptionedFigure"/>
      </w:pPr>
      <w:r>
        <w:drawing>
          <wp:inline>
            <wp:extent cx="3733800" cy="667865"/>
            <wp:effectExtent b="0" l="0" r="0" t="0"/>
            <wp:docPr descr="photo 5" title="" id="35" name="Picture"/>
            <a:graphic>
              <a:graphicData uri="http://schemas.openxmlformats.org/drawingml/2006/picture">
                <pic:pic>
                  <pic:nvPicPr>
                    <pic:cNvPr descr="image/5-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photo 5</w:t>
      </w:r>
    </w:p>
    <w:p>
      <w:pPr>
        <w:pStyle w:val="Compact"/>
        <w:numPr>
          <w:ilvl w:val="0"/>
          <w:numId w:val="1003"/>
        </w:numPr>
      </w:pPr>
      <w:r>
        <w:t xml:space="preserve">создаём новый файл lab6-2 (рис. 6).</w:t>
      </w:r>
    </w:p>
    <w:p>
      <w:pPr>
        <w:pStyle w:val="CaptionedFigure"/>
      </w:pPr>
      <w:r>
        <w:drawing>
          <wp:inline>
            <wp:extent cx="3733800" cy="234338"/>
            <wp:effectExtent b="0" l="0" r="0" t="0"/>
            <wp:docPr descr="photo 6" title="" id="38" name="Picture"/>
            <a:graphic>
              <a:graphicData uri="http://schemas.openxmlformats.org/drawingml/2006/picture">
                <pic:pic>
                  <pic:nvPicPr>
                    <pic:cNvPr descr="image/6-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photo 6</w:t>
      </w:r>
    </w:p>
    <w:p>
      <w:pPr>
        <w:pStyle w:val="BodyText"/>
      </w:pPr>
      <w:r>
        <w:t xml:space="preserve">переписываем код программы из ТУИС (рис. 7).</w:t>
      </w:r>
    </w:p>
    <w:p>
      <w:pPr>
        <w:pStyle w:val="CaptionedFigure"/>
      </w:pPr>
      <w:r>
        <w:drawing>
          <wp:inline>
            <wp:extent cx="3733800" cy="1974108"/>
            <wp:effectExtent b="0" l="0" r="0" t="0"/>
            <wp:docPr descr="photo 7" title="" id="41" name="Picture"/>
            <a:graphic>
              <a:graphicData uri="http://schemas.openxmlformats.org/drawingml/2006/picture">
                <pic:pic>
                  <pic:nvPicPr>
                    <pic:cNvPr descr="image/7-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photo 7</w:t>
      </w:r>
    </w:p>
    <w:p>
      <w:pPr>
        <w:pStyle w:val="BodyText"/>
      </w:pPr>
      <w:r>
        <w:t xml:space="preserve">компилируем и запускаем (рис. 8).</w:t>
      </w:r>
    </w:p>
    <w:p>
      <w:pPr>
        <w:pStyle w:val="CaptionedFigure"/>
      </w:pPr>
      <w:r>
        <w:drawing>
          <wp:inline>
            <wp:extent cx="3733800" cy="595860"/>
            <wp:effectExtent b="0" l="0" r="0" t="0"/>
            <wp:docPr descr="photo 8" title="" id="44" name="Picture"/>
            <a:graphic>
              <a:graphicData uri="http://schemas.openxmlformats.org/drawingml/2006/picture">
                <pic:pic>
                  <pic:nvPicPr>
                    <pic:cNvPr descr="image/8-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photo 8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 (рис. 9).</w:t>
      </w:r>
    </w:p>
    <w:p>
      <w:pPr>
        <w:pStyle w:val="CaptionedFigure"/>
      </w:pPr>
      <w:r>
        <w:drawing>
          <wp:inline>
            <wp:extent cx="3733800" cy="1974108"/>
            <wp:effectExtent b="0" l="0" r="0" t="0"/>
            <wp:docPr descr="photo 9" title="" id="47" name="Picture"/>
            <a:graphic>
              <a:graphicData uri="http://schemas.openxmlformats.org/drawingml/2006/picture">
                <pic:pic>
                  <pic:nvPicPr>
                    <pic:cNvPr descr="image/9-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photo 9</w:t>
      </w:r>
    </w:p>
    <w:p>
      <w:pPr>
        <w:pStyle w:val="BodyText"/>
      </w:pPr>
      <w:r>
        <w:t xml:space="preserve">компилируем и запускаем (рис. 10).</w:t>
      </w:r>
    </w:p>
    <w:p>
      <w:pPr>
        <w:pStyle w:val="CaptionedFigure"/>
      </w:pPr>
      <w:r>
        <w:drawing>
          <wp:inline>
            <wp:extent cx="3733800" cy="615763"/>
            <wp:effectExtent b="0" l="0" r="0" t="0"/>
            <wp:docPr descr="photo 10" title="" id="50" name="Picture"/>
            <a:graphic>
              <a:graphicData uri="http://schemas.openxmlformats.org/drawingml/2006/picture">
                <pic:pic>
                  <pic:nvPicPr>
                    <pic:cNvPr descr="image/10-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photo 10</w:t>
      </w:r>
    </w:p>
    <w:p>
      <w:pPr>
        <w:pStyle w:val="Compact"/>
        <w:numPr>
          <w:ilvl w:val="0"/>
          <w:numId w:val="1005"/>
        </w:numPr>
      </w:pPr>
      <w:r>
        <w:t xml:space="preserve">Заменим функцию iprintLF на iprint и выведи это (рис. 11).</w:t>
      </w:r>
    </w:p>
    <w:p>
      <w:pPr>
        <w:pStyle w:val="CaptionedFigure"/>
      </w:pPr>
      <w:r>
        <w:drawing>
          <wp:inline>
            <wp:extent cx="3733800" cy="615763"/>
            <wp:effectExtent b="0" l="0" r="0" t="0"/>
            <wp:docPr descr="photo 11" title="" id="53" name="Picture"/>
            <a:graphic>
              <a:graphicData uri="http://schemas.openxmlformats.org/drawingml/2006/picture">
                <pic:pic>
                  <pic:nvPicPr>
                    <pic:cNvPr descr="image/11-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photo 11</w:t>
      </w:r>
    </w:p>
    <w:p>
      <w:pPr>
        <w:pStyle w:val="BodyText"/>
      </w:pPr>
      <w:r>
        <w:t xml:space="preserve">теперь ответ не пишется в отдельной строке.</w:t>
      </w:r>
    </w:p>
    <w:bookmarkEnd w:id="55"/>
    <w:bookmarkStart w:id="77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6"/>
        </w:numPr>
      </w:pPr>
      <w:r>
        <w:t xml:space="preserve">Создаём файл lab6-3.asm в каталоге ~/work/arch-pc/lab06 (рис. 12).</w:t>
      </w:r>
    </w:p>
    <w:p>
      <w:pPr>
        <w:pStyle w:val="CaptionedFigure"/>
      </w:pPr>
      <w:r>
        <w:drawing>
          <wp:inline>
            <wp:extent cx="3733800" cy="615763"/>
            <wp:effectExtent b="0" l="0" r="0" t="0"/>
            <wp:docPr descr="photo 12" title="" id="57" name="Picture"/>
            <a:graphic>
              <a:graphicData uri="http://schemas.openxmlformats.org/drawingml/2006/picture">
                <pic:pic>
                  <pic:nvPicPr>
                    <pic:cNvPr descr="image/12-0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photo 12</w:t>
      </w:r>
    </w:p>
    <w:p>
      <w:pPr>
        <w:pStyle w:val="Compact"/>
        <w:numPr>
          <w:ilvl w:val="0"/>
          <w:numId w:val="1007"/>
        </w:numPr>
      </w:pPr>
      <w:r>
        <w:t xml:space="preserve">переписываем код программы из ТУИС (рис. 13).</w:t>
      </w:r>
    </w:p>
    <w:p>
      <w:pPr>
        <w:pStyle w:val="CaptionedFigure"/>
      </w:pPr>
      <w:r>
        <w:drawing>
          <wp:inline>
            <wp:extent cx="3733800" cy="2950906"/>
            <wp:effectExtent b="0" l="0" r="0" t="0"/>
            <wp:docPr descr="photo 13" title="" id="60" name="Picture"/>
            <a:graphic>
              <a:graphicData uri="http://schemas.openxmlformats.org/drawingml/2006/picture">
                <pic:pic>
                  <pic:nvPicPr>
                    <pic:cNvPr descr="image/13-0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photo 13</w:t>
      </w:r>
    </w:p>
    <w:p>
      <w:pPr>
        <w:pStyle w:val="Compact"/>
        <w:numPr>
          <w:ilvl w:val="0"/>
          <w:numId w:val="1008"/>
        </w:numPr>
      </w:pPr>
      <w:r>
        <w:t xml:space="preserve">компилируем и запускаем (рис. 14).</w:t>
      </w:r>
    </w:p>
    <w:p>
      <w:pPr>
        <w:pStyle w:val="CaptionedFigure"/>
      </w:pPr>
      <w:r>
        <w:drawing>
          <wp:inline>
            <wp:extent cx="3733800" cy="554174"/>
            <wp:effectExtent b="0" l="0" r="0" t="0"/>
            <wp:docPr descr="photo 14" title="" id="63" name="Picture"/>
            <a:graphic>
              <a:graphicData uri="http://schemas.openxmlformats.org/drawingml/2006/picture">
                <pic:pic>
                  <pic:nvPicPr>
                    <pic:cNvPr descr="image/14-0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photo 14</w:t>
      </w:r>
    </w:p>
    <w:p>
      <w:pPr>
        <w:pStyle w:val="Compact"/>
        <w:numPr>
          <w:ilvl w:val="0"/>
          <w:numId w:val="1009"/>
        </w:numPr>
      </w:pPr>
      <w:r>
        <w:t xml:space="preserve">Изменяем текст программы для вычисления выражения f(x) = (4 * 6 + 2)/5 (рис. 15).</w:t>
      </w:r>
    </w:p>
    <w:p>
      <w:pPr>
        <w:pStyle w:val="CaptionedFigure"/>
      </w:pPr>
      <w:r>
        <w:drawing>
          <wp:inline>
            <wp:extent cx="3733800" cy="2554971"/>
            <wp:effectExtent b="0" l="0" r="0" t="0"/>
            <wp:docPr descr="photo 15" title="" id="66" name="Picture"/>
            <a:graphic>
              <a:graphicData uri="http://schemas.openxmlformats.org/drawingml/2006/picture">
                <pic:pic>
                  <pic:nvPicPr>
                    <pic:cNvPr descr="image/15-0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photo 15</w:t>
      </w:r>
    </w:p>
    <w:p>
      <w:pPr>
        <w:pStyle w:val="Compact"/>
        <w:numPr>
          <w:ilvl w:val="0"/>
          <w:numId w:val="1010"/>
        </w:numPr>
      </w:pPr>
      <w:r>
        <w:t xml:space="preserve">компилируем и запускаем (рис. 16).</w:t>
      </w:r>
    </w:p>
    <w:p>
      <w:pPr>
        <w:pStyle w:val="CaptionedFigure"/>
      </w:pPr>
      <w:r>
        <w:drawing>
          <wp:inline>
            <wp:extent cx="3733800" cy="595527"/>
            <wp:effectExtent b="0" l="0" r="0" t="0"/>
            <wp:docPr descr="photo 16" title="" id="69" name="Picture"/>
            <a:graphic>
              <a:graphicData uri="http://schemas.openxmlformats.org/drawingml/2006/picture">
                <pic:pic>
                  <pic:nvPicPr>
                    <pic:cNvPr descr="image/16-0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photo 16</w:t>
      </w:r>
    </w:p>
    <w:p>
      <w:pPr>
        <w:pStyle w:val="Compact"/>
        <w:numPr>
          <w:ilvl w:val="0"/>
          <w:numId w:val="1011"/>
        </w:numPr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 (рис. 17).</w:t>
      </w:r>
    </w:p>
    <w:p>
      <w:pPr>
        <w:pStyle w:val="CaptionedFigure"/>
      </w:pPr>
      <w:r>
        <w:drawing>
          <wp:inline>
            <wp:extent cx="3733800" cy="3962526"/>
            <wp:effectExtent b="0" l="0" r="0" t="0"/>
            <wp:docPr descr="photo 17" title="" id="72" name="Picture"/>
            <a:graphic>
              <a:graphicData uri="http://schemas.openxmlformats.org/drawingml/2006/picture">
                <pic:pic>
                  <pic:nvPicPr>
                    <pic:cNvPr descr="image/17-0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photo 17</w:t>
      </w:r>
    </w:p>
    <w:p>
      <w:pPr>
        <w:pStyle w:val="Compact"/>
        <w:numPr>
          <w:ilvl w:val="0"/>
          <w:numId w:val="1012"/>
        </w:numPr>
      </w:pPr>
      <w:r>
        <w:t xml:space="preserve">компилируем и запускаем (рис. 18).</w:t>
      </w:r>
    </w:p>
    <w:p>
      <w:pPr>
        <w:pStyle w:val="CaptionedFigure"/>
      </w:pPr>
      <w:r>
        <w:drawing>
          <wp:inline>
            <wp:extent cx="3733800" cy="394883"/>
            <wp:effectExtent b="0" l="0" r="0" t="0"/>
            <wp:docPr descr="photo 18" title="" id="75" name="Picture"/>
            <a:graphic>
              <a:graphicData uri="http://schemas.openxmlformats.org/drawingml/2006/picture">
                <pic:pic>
                  <pic:nvPicPr>
                    <pic:cNvPr descr="image/18-06-0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photo 18</w:t>
      </w:r>
    </w:p>
    <w:bookmarkEnd w:id="77"/>
    <w:bookmarkStart w:id="78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Строки:</w:t>
      </w:r>
    </w:p>
    <w:p>
      <w:pPr>
        <w:pStyle w:val="FirstParagraph"/>
      </w:pPr>
      <w:r>
        <w:t xml:space="preserve">mov eax, rem ; Загрузка адреса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регистр EAX</w:t>
      </w:r>
      <w:r>
        <w:t xml:space="preserve"> </w:t>
      </w:r>
      <w:r>
        <w:t xml:space="preserve">call sprint ; Вызов подпрограммы для вывода сообщения</w:t>
      </w:r>
    </w:p>
    <w:p>
      <w:pPr>
        <w:pStyle w:val="Compact"/>
        <w:numPr>
          <w:ilvl w:val="0"/>
          <w:numId w:val="1014"/>
        </w:numPr>
      </w:pPr>
      <w:r>
        <w:t xml:space="preserve">Для чего используются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Устанавливает указатель на буфер x, куда будет записан введённый текст.</w:t>
      </w:r>
    </w:p>
    <w:p>
      <w:pPr>
        <w:pStyle w:val="FirstParagraph"/>
      </w:pPr>
      <w:r>
        <w:t xml:space="preserve">mov edx, 80</w:t>
      </w:r>
      <w:r>
        <w:t xml:space="preserve"> </w:t>
      </w:r>
      <w:r>
        <w:t xml:space="preserve">Указывает максимальную длину ввода (80 байт).</w:t>
      </w:r>
    </w:p>
    <w:p>
      <w:pPr>
        <w:pStyle w:val="BodyText"/>
      </w:pPr>
      <w:r>
        <w:t xml:space="preserve">call sread</w:t>
      </w:r>
      <w:r>
        <w:t xml:space="preserve"> </w:t>
      </w:r>
      <w:r>
        <w:t xml:space="preserve">Вызывает подпрограмму для считывания строки из ввода (с клавиатуры) и записи её в буфер x.</w:t>
      </w:r>
    </w:p>
    <w:p>
      <w:pPr>
        <w:numPr>
          <w:ilvl w:val="0"/>
          <w:numId w:val="1015"/>
        </w:numPr>
      </w:pPr>
      <w:r>
        <w:t xml:space="preserve">Для чего используется инструкция call atoi?</w:t>
      </w:r>
      <w:r>
        <w:t xml:space="preserve"> </w:t>
      </w:r>
      <w:r>
        <w:t xml:space="preserve">Она преобразует строку (символы ASCII) из буфера x в число и записывает результат в регистр eax. Это необходимо для выполнения арифметических операций с введёнными данными.</w:t>
      </w:r>
    </w:p>
    <w:p>
      <w:pPr>
        <w:numPr>
          <w:ilvl w:val="0"/>
          <w:numId w:val="1015"/>
        </w:numPr>
      </w:pPr>
      <w:r>
        <w:t xml:space="preserve">Какие строки листинга 6.4 отвечают за вычисление варианта?</w:t>
      </w:r>
      <w:r>
        <w:t xml:space="preserve"> </w:t>
      </w:r>
      <w:r>
        <w:t xml:space="preserve">Строки:</w:t>
      </w:r>
    </w:p>
    <w:p>
      <w:pPr>
        <w:pStyle w:val="FirstParagraph"/>
      </w:pPr>
      <w:r>
        <w:t xml:space="preserve">xor edx, edx ; Обнуление регистра EDX</w:t>
      </w:r>
      <w:r>
        <w:t xml:space="preserve"> </w:t>
      </w:r>
      <w:r>
        <w:t xml:space="preserve">mov ebx, 20 ; Загрузка делителя (20) в EBX</w:t>
      </w:r>
      <w:r>
        <w:t xml:space="preserve"> </w:t>
      </w:r>
      <w:r>
        <w:t xml:space="preserve">div ebx ; Деление: результат в EAX, остаток в EDX</w:t>
      </w:r>
      <w:r>
        <w:t xml:space="preserve"> </w:t>
      </w:r>
      <w:r>
        <w:t xml:space="preserve">inc edx ; Увеличение остатка на 1 для получения номера варианта</w:t>
      </w:r>
    </w:p>
    <w:p>
      <w:pPr>
        <w:numPr>
          <w:ilvl w:val="0"/>
          <w:numId w:val="1016"/>
        </w:numPr>
      </w:pPr>
      <w:r>
        <w:t xml:space="preserve">В какой регистр записывается остаток от деления при выполнении инструкции div ebx?</w:t>
      </w:r>
      <w:r>
        <w:t xml:space="preserve"> </w:t>
      </w:r>
      <w:r>
        <w:t xml:space="preserve">Остаток от деления записывается в регистр EDX.</w:t>
      </w:r>
    </w:p>
    <w:p>
      <w:pPr>
        <w:numPr>
          <w:ilvl w:val="0"/>
          <w:numId w:val="1016"/>
        </w:numPr>
      </w:pPr>
      <w:r>
        <w:t xml:space="preserve">Для чего используется инструкция inc edx?</w:t>
      </w:r>
      <w:r>
        <w:t xml:space="preserve"> </w:t>
      </w:r>
      <w:r>
        <w:t xml:space="preserve">Инструкция inc edx увеличивает остаток от деления на единицу. Это необходимо, чтобы результат вычисления соответствовал формуле:</w:t>
      </w:r>
    </w:p>
    <w:p>
      <w:pPr>
        <w:numPr>
          <w:ilvl w:val="0"/>
          <w:numId w:val="1016"/>
        </w:numPr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Строки:</w:t>
      </w:r>
    </w:p>
    <w:p>
      <w:pPr>
        <w:pStyle w:val="FirstParagraph"/>
      </w:pPr>
      <w:r>
        <w:t xml:space="preserve">mov eax, rem ; Загрузка адреса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EAX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mov eax, edx ; Загрузка номера варианта из EDX в EAX</w:t>
      </w:r>
      <w:r>
        <w:t xml:space="preserve"> </w:t>
      </w:r>
      <w:r>
        <w:t xml:space="preserve">call iprintLF ; Вывод номера варианта с переводом строки</w:t>
      </w:r>
    </w:p>
    <w:bookmarkEnd w:id="78"/>
    <w:bookmarkStart w:id="8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17"/>
        </w:numPr>
      </w:pPr>
      <w:r>
        <w:t xml:space="preserve">создаём файл (рис. 19).</w:t>
      </w:r>
    </w:p>
    <w:p>
      <w:pPr>
        <w:pStyle w:val="CaptionedFigure"/>
      </w:pPr>
      <w:r>
        <w:drawing>
          <wp:inline>
            <wp:extent cx="3733800" cy="254399"/>
            <wp:effectExtent b="0" l="0" r="0" t="0"/>
            <wp:docPr descr="photo 19" title="" id="80" name="Picture"/>
            <a:graphic>
              <a:graphicData uri="http://schemas.openxmlformats.org/drawingml/2006/picture">
                <pic:pic>
                  <pic:nvPicPr>
                    <pic:cNvPr descr="image/19-0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photo 19</w:t>
      </w:r>
    </w:p>
    <w:p>
      <w:pPr>
        <w:pStyle w:val="Compact"/>
        <w:numPr>
          <w:ilvl w:val="0"/>
          <w:numId w:val="1018"/>
        </w:numPr>
      </w:pPr>
      <w:r>
        <w:t xml:space="preserve">пишем в нём код (рис. 20).</w:t>
      </w:r>
    </w:p>
    <w:p>
      <w:pPr>
        <w:pStyle w:val="CaptionedFigure"/>
      </w:pPr>
      <w:r>
        <w:drawing>
          <wp:inline>
            <wp:extent cx="3733800" cy="3528591"/>
            <wp:effectExtent b="0" l="0" r="0" t="0"/>
            <wp:docPr descr="photo 20" title="" id="83" name="Picture"/>
            <a:graphic>
              <a:graphicData uri="http://schemas.openxmlformats.org/drawingml/2006/picture">
                <pic:pic>
                  <pic:nvPicPr>
                    <pic:cNvPr descr="image/20-0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photo 20</w:t>
      </w:r>
    </w:p>
    <w:p>
      <w:pPr>
        <w:pStyle w:val="Compact"/>
        <w:numPr>
          <w:ilvl w:val="0"/>
          <w:numId w:val="1019"/>
        </w:numPr>
      </w:pPr>
      <w:r>
        <w:t xml:space="preserve">компилируем и запускаем (рис. 21).</w:t>
      </w:r>
    </w:p>
    <w:p>
      <w:pPr>
        <w:pStyle w:val="CaptionedFigure"/>
      </w:pPr>
      <w:r>
        <w:drawing>
          <wp:inline>
            <wp:extent cx="3733800" cy="898950"/>
            <wp:effectExtent b="0" l="0" r="0" t="0"/>
            <wp:docPr descr="photo 21" title="" id="86" name="Picture"/>
            <a:graphic>
              <a:graphicData uri="http://schemas.openxmlformats.org/drawingml/2006/picture">
                <pic:pic>
                  <pic:nvPicPr>
                    <pic:cNvPr descr="image/21-0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photo 21</w:t>
      </w:r>
    </w:p>
    <w:bookmarkEnd w:id="88"/>
    <w:bookmarkStart w:id="89" w:name="выводы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достигнуты следующие результаты, соответствующие поставленной цели:</w:t>
      </w:r>
    </w:p>
    <w:p>
      <w:pPr>
        <w:numPr>
          <w:ilvl w:val="0"/>
          <w:numId w:val="1020"/>
        </w:numPr>
      </w:pPr>
      <w:r>
        <w:t xml:space="preserve">Освоение арифметических инструкций NASM:</w:t>
      </w:r>
      <w:r>
        <w:t xml:space="preserve"> </w:t>
      </w:r>
      <w:r>
        <w:t xml:space="preserve">Были изучены основные команды языка ассемблера для выполнения арифметических операций: сложение (add), вычитание (sub), умножение (mul и imul), деление (div и idiv), а также инкремент и декремент (inc, dec).</w:t>
      </w:r>
    </w:p>
    <w:p>
      <w:pPr>
        <w:numPr>
          <w:ilvl w:val="0"/>
          <w:numId w:val="1020"/>
        </w:numPr>
      </w:pPr>
      <w:r>
        <w:t xml:space="preserve">Работа с числовыми и символьными данными:</w:t>
      </w:r>
      <w:r>
        <w:t xml:space="preserve"> </w:t>
      </w:r>
      <w:r>
        <w:t xml:space="preserve">Изучены методы преобразования данных между символьным и числовым представлением с использованием ASCII-кодов и специальных подпрограмм (atoi, iprint и др.). Это позволило корректно вводить данные с клавиатуры и выводить результаты на экран.</w:t>
      </w:r>
    </w:p>
    <w:p>
      <w:pPr>
        <w:numPr>
          <w:ilvl w:val="0"/>
          <w:numId w:val="1020"/>
        </w:numPr>
      </w:pPr>
      <w:r>
        <w:t xml:space="preserve">Практическое применение арифметических операций:</w:t>
      </w:r>
      <w:r>
        <w:t xml:space="preserve"> </w:t>
      </w:r>
      <w:r>
        <w:t xml:space="preserve">Было успешно реализовано вычисление сложных арифметических выражений на языке NASM с учётом правил адресации данных и особенностей использования регистров.</w:t>
      </w:r>
    </w:p>
    <w:p>
      <w:pPr>
        <w:numPr>
          <w:ilvl w:val="0"/>
          <w:numId w:val="1020"/>
        </w:numPr>
      </w:pPr>
      <w:r>
        <w:t xml:space="preserve">Закрепление навыков программирования на ассемблере:</w:t>
      </w:r>
      <w:r>
        <w:t xml:space="preserve"> </w:t>
      </w:r>
      <w:r>
        <w:t xml:space="preserve">Выполнение лабораторной работы позволило на практике закрепить теоретические знания по архитектуре ЭВМ и программированию на языке ассемблера NASM.</w:t>
      </w:r>
    </w:p>
    <w:bookmarkEnd w:id="89"/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Глобин Никита Анатольевич</dc:creator>
  <dc:language>ru-RU</dc:language>
  <cp:keywords/>
  <dcterms:created xsi:type="dcterms:W3CDTF">2024-11-21T17:49:40Z</dcterms:created>
  <dcterms:modified xsi:type="dcterms:W3CDTF">2024-11-21T17:49:40Z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