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2021 Television Drama Casting Study: Summary</w:t>
      </w:r>
    </w:p>
    <w:p>
      <w:pPr>
        <w:pStyle w:val="Subtitle"/>
      </w:pPr>
      <w:r>
        <w:t>Comparison of all 45 study productions with a combined 17-title BBC-related policy cohort</w:t>
      </w:r>
    </w:p>
    <w:tbl>
      <w:tblPr>
        <w:tblStyle w:val="TableGrid"/>
        <w:tblW w:type="dxa" w:w="14976"/>
        <w:jc w:val="left"/>
        <w:tblLayout w:type="fixed"/>
        <w:tblLook w:firstColumn="1" w:firstRow="1" w:lastColumn="0" w:lastRow="0" w:noHBand="0" w:noVBand="1" w:val="04A0"/>
        <w:tblInd w:w="120" w:type="dxa"/>
      </w:tblPr>
      <w:tblGrid>
        <w:gridCol w:w="6200"/>
        <w:gridCol w:w="4300"/>
        <w:gridCol w:w="4476"/>
      </w:tblGrid>
      <w:tr>
        <w:trPr>
          <w:tblHeader w:val="true"/>
        </w:trPr>
        <w:tc>
          <w:tcPr>
            <w:tcW w:type="dxa" w:w="6200"/>
            <w:tcMar>
              <w:top w:w="90" w:type="dxa"/>
              <w:start w:w="120" w:type="dxa"/>
              <w:bottom w:w="90" w:type="dxa"/>
              <w:end w:w="120" w:type="dxa"/>
            </w:tcMar>
            <w:shd w:fill="17365D"/>
            <w:vAlign w:val="center"/>
          </w:tcPr>
          <w:p>
            <w:pPr>
              <w:spacing w:after="0" w:line="252" w:lineRule="auto"/>
              <w:jc w:val="left"/>
            </w:pPr>
            <w:r/>
            <w:r>
              <w:rPr>
                <w:rFonts w:ascii="Arial" w:hAnsi="Arial"/>
                <w:b/>
                <w:color w:val="FFFFFF"/>
                <w:sz w:val="19"/>
              </w:rPr>
              <w:t>Measure</w:t>
            </w:r>
          </w:p>
        </w:tc>
        <w:tc>
          <w:tcPr>
            <w:tcW w:type="dxa" w:w="4300"/>
            <w:tcMar>
              <w:top w:w="90" w:type="dxa"/>
              <w:start w:w="120" w:type="dxa"/>
              <w:bottom w:w="90" w:type="dxa"/>
              <w:end w:w="120" w:type="dxa"/>
            </w:tcMar>
            <w:shd w:fill="17365D"/>
            <w:vAlign w:val="center"/>
          </w:tcPr>
          <w:p>
            <w:pPr>
              <w:spacing w:after="0" w:line="252" w:lineRule="auto"/>
              <w:jc w:val="left"/>
            </w:pPr>
            <w:r/>
            <w:r>
              <w:rPr>
                <w:rFonts w:ascii="Arial" w:hAnsi="Arial"/>
                <w:b/>
                <w:color w:val="FFFFFF"/>
                <w:sz w:val="19"/>
              </w:rPr>
              <w:t>All study productions</w:t>
            </w:r>
          </w:p>
        </w:tc>
        <w:tc>
          <w:tcPr>
            <w:tcW w:type="dxa" w:w="4476"/>
            <w:tcMar>
              <w:top w:w="90" w:type="dxa"/>
              <w:start w:w="120" w:type="dxa"/>
              <w:bottom w:w="90" w:type="dxa"/>
              <w:end w:w="120" w:type="dxa"/>
            </w:tcMar>
            <w:shd w:fill="17365D"/>
            <w:vAlign w:val="center"/>
          </w:tcPr>
          <w:p>
            <w:pPr>
              <w:spacing w:after="0" w:line="252" w:lineRule="auto"/>
              <w:jc w:val="left"/>
            </w:pPr>
            <w:r/>
            <w:r>
              <w:rPr>
                <w:rFonts w:ascii="Arial" w:hAnsi="Arial"/>
                <w:b/>
                <w:color w:val="FFFFFF"/>
                <w:sz w:val="19"/>
              </w:rPr>
              <w:t>BBC cohort</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Eligible casting credits</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1,906</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739</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Apparent-disability casting credits</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15</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2</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Study apparent-disability casting rate</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0.79%</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0.27%</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Unique performers</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1,734</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698</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Unique apparent-disabled performers</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13</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2</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Productions containing at least one matched performer</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11 of 45 (24.44%)</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2 of 17 (11.76%)</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Difference from 7% midpoint</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-6.21 percentage points</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-6.73 percentage points</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Diamond perceived disability in Drama</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7.9%: Fifth Cut (Aug 2020-Jul 2021)</w:t>
              <w:br/>
              <w:t>9.3%: Sixth Cut (Aug 2021-Jul 2022)</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Not BBC-specific</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Diamond-equivalent credits if rates were directly comparable</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151-177 credits</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58-69 credits</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Gap between observed and Diamond-equivalent credits</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136-162 fewer credits</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56-67 fewer credits</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Percentage-point gap from Diamond range</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7.11-8.51 percentage points below</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7.63-9.03 percentage points below</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Observed credits as a proportion of projected endpoint</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8.5%-10.0%</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About 2.9%-3.4%</w:t>
            </w:r>
          </w:p>
        </w:tc>
      </w:tr>
      <w:tr>
        <w:tc>
          <w:tcPr>
            <w:tcW w:type="dxa" w:w="6200"/>
            <w:shd w:fill="D9EAF7"/>
            <w:vAlign w:val="center"/>
            <w:tcMar>
              <w:top w:w="90" w:type="dxa"/>
              <w:start w:w="120" w:type="dxa"/>
              <w:bottom w:w="90" w:type="dxa"/>
              <w:end w:w="120" w:type="dxa"/>
            </w:tcMar>
          </w:tcPr>
          <w:p>
            <w:pPr>
              <w:spacing w:after="0" w:line="252" w:lineRule="auto"/>
              <w:jc w:val="left"/>
            </w:pPr>
            <w:r/>
            <w:r>
              <w:rPr>
                <w:rFonts w:ascii="Arial" w:hAnsi="Arial"/>
                <w:b/>
                <w:color w:val="1F2937"/>
                <w:sz w:val="18"/>
              </w:rPr>
              <w:t>Projected endpoint as share of all casting credits</w:t>
            </w:r>
          </w:p>
        </w:tc>
        <w:tc>
          <w:tcPr>
            <w:tcW w:type="dxa" w:w="4300"/>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7.9%-9.3%</w:t>
            </w:r>
          </w:p>
        </w:tc>
        <w:tc>
          <w:tcPr>
            <w:tcW w:type="dxa" w:w="4476"/>
            <w:shd w:fill="D9EAF7"/>
            <w:vAlign w:val="center"/>
            <w:tcMar>
              <w:top w:w="90" w:type="dxa"/>
              <w:start w:w="120" w:type="dxa"/>
              <w:bottom w:w="90" w:type="dxa"/>
              <w:end w:w="120" w:type="dxa"/>
            </w:tcMar>
          </w:tcPr>
          <w:p>
            <w:pPr>
              <w:spacing w:after="0" w:line="252" w:lineRule="auto"/>
              <w:jc w:val="left"/>
            </w:pPr>
            <w:r/>
            <w:r>
              <w:rPr>
                <w:rFonts w:ascii="Arial" w:hAnsi="Arial"/>
                <w:b w:val="0"/>
                <w:color w:val="1F2937"/>
                <w:sz w:val="18"/>
              </w:rPr>
              <w:t>7.9%-9.3% if the same control were applied</w:t>
            </w:r>
          </w:p>
        </w:tc>
      </w:tr>
      <w:tr>
        <w:tc>
          <w:tcPr>
            <w:tcW w:type="dxa" w:w="6200"/>
            <w:shd w:fill="FFFFFF"/>
            <w:vAlign w:val="center"/>
            <w:tcMar>
              <w:top w:w="90" w:type="dxa"/>
              <w:start w:w="120" w:type="dxa"/>
              <w:bottom w:w="90" w:type="dxa"/>
              <w:end w:w="120" w:type="dxa"/>
            </w:tcMar>
          </w:tcPr>
          <w:p>
            <w:pPr>
              <w:spacing w:after="0" w:line="252" w:lineRule="auto"/>
              <w:jc w:val="left"/>
            </w:pPr>
            <w:r/>
            <w:r>
              <w:rPr>
                <w:rFonts w:ascii="Arial" w:hAnsi="Arial"/>
                <w:b/>
                <w:color w:val="1F2937"/>
                <w:sz w:val="18"/>
              </w:rPr>
              <w:t>Ofcom BBC Drama portrayal</w:t>
            </w:r>
          </w:p>
        </w:tc>
        <w:tc>
          <w:tcPr>
            <w:tcW w:type="dxa" w:w="4300"/>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Not applicable</w:t>
            </w:r>
          </w:p>
        </w:tc>
        <w:tc>
          <w:tcPr>
            <w:tcW w:type="dxa" w:w="4476"/>
            <w:shd w:fill="FFFFFF"/>
            <w:vAlign w:val="center"/>
            <w:tcMar>
              <w:top w:w="90" w:type="dxa"/>
              <w:start w:w="120" w:type="dxa"/>
              <w:bottom w:w="90" w:type="dxa"/>
              <w:end w:w="120" w:type="dxa"/>
            </w:tcMar>
          </w:tcPr>
          <w:p>
            <w:pPr>
              <w:spacing w:after="0" w:line="252" w:lineRule="auto"/>
              <w:jc w:val="left"/>
            </w:pPr>
            <w:r/>
            <w:r>
              <w:rPr>
                <w:rFonts w:ascii="Arial" w:hAnsi="Arial"/>
                <w:b w:val="0"/>
                <w:color w:val="1F2937"/>
                <w:sz w:val="18"/>
              </w:rPr>
              <w:t>Not available: no BBC scripted-drama-specific figure identified</w:t>
            </w:r>
          </w:p>
        </w:tc>
      </w:tr>
    </w:tbl>
    <w:p>
      <w:pPr>
        <w:spacing w:before="140" w:after="60"/>
      </w:pPr>
      <w:r>
        <w:rPr>
          <w:rFonts w:ascii="Arial" w:hAnsi="Arial"/>
          <w:b/>
          <w:color w:val="17365D"/>
          <w:sz w:val="18"/>
        </w:rPr>
        <w:t xml:space="preserve">Interpretation. </w:t>
      </w:r>
      <w:r>
        <w:rPr>
          <w:rFonts w:ascii="Arial" w:hAnsi="Arial"/>
          <w:color w:val="1F2937"/>
          <w:sz w:val="17"/>
        </w:rPr>
        <w:t>The study rate measures casting credits awarded to register-matched performers with an apparent disability. The combined BBC cohort is appropriate for examining shared casting-policy intentions, but it includes two wider BBC-related commercial titles that are not automatically within Ofcom's direct BBC UK Public Services regulatory perimeter.</w:t>
      </w:r>
    </w:p>
    <w:p>
      <w:pPr>
        <w:spacing w:after="0"/>
      </w:pPr>
      <w:r>
        <w:rPr>
          <w:rFonts w:ascii="Arial" w:hAnsi="Arial"/>
          <w:b/>
          <w:color w:val="17365D"/>
          <w:sz w:val="18"/>
        </w:rPr>
        <w:t xml:space="preserve">Comparator limits. </w:t>
      </w:r>
      <w:r>
        <w:rPr>
          <w:rFonts w:ascii="Arial" w:hAnsi="Arial"/>
          <w:color w:val="1F2937"/>
          <w:sz w:val="17"/>
        </w:rPr>
        <w:t>The projected counts are counterfactual illustrations: they show what 7.9%-9.3% of this study's casting-credit denominators would equal, not what Diamond actually counted. Diamond uses producer-coded perceived on-screen contributions, different reporting periods and a wider disability scope. The gap is therefore consistent with several possibilities—including inauthentic casting, register undercoverage, narratively revealed hidden disability and measurement differences—and cannot determine their relative contribution without linked character, performer and casting-decision data.</w:t>
      </w:r>
    </w:p>
    <w:sectPr w:rsidR="00FC693F" w:rsidRPr="0006063C" w:rsidSect="00034616">
      <w:headerReference w:type="default" r:id="rId9"/>
      <w:footerReference w:type="default" r:id="rId10"/>
      <w:pgSz w:w="16834" w:h="11909" w:orient="landscape"/>
      <w:pgMar w:top="792" w:right="864" w:bottom="720" w:left="86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36273"/>
        <w:sz w:val="16"/>
      </w:rPr>
      <w:t>Summary sheet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6273"/>
        <w:sz w:val="16"/>
      </w:rPr>
      <w:t>2021 UK television drama casting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4472C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362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Television Drama Casting Study Summary</dc:title>
  <dc:subject>Annual casting-credit summary for all study productions and the direct BBC public-service cohort</dc:subject>
  <dc:creator>Gareth Ford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