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rPr>
          <w:color w:val="17365D"/>
        </w:rPr>
        <w:t>2022 Television Drama Casting Study Summary</w:t>
      </w:r>
    </w:p>
    <w:p>
      <w:pPr>
        <w:pStyle w:val="Subtitle"/>
        <w:spacing w:after="100"/>
      </w:pPr>
      <w:r>
        <w:rPr>
          <w:i/>
        </w:rPr>
        <w:t>New commissions, later-series carry-in casting and external contextual controls</w:t>
      </w:r>
    </w:p>
    <w:p>
      <w:pPr>
        <w:pStyle w:val="Heading1"/>
        <w:keepNext/>
        <w:spacing w:before="0" w:after="60"/>
      </w:pPr>
      <w:r>
        <w:t>Annual comparison</w:t>
      </w:r>
    </w:p>
    <w:tbl>
      <w:tblPr>
        <w:tblW w:type="auto" w:w="0"/>
        <w:jc w:val="center"/>
        <w:tblLayout w:type="fixed"/>
        <w:tblLook w:firstColumn="1" w:firstRow="1" w:lastColumn="0" w:lastRow="0" w:noHBand="0" w:noVBand="1" w:val="04A0"/>
        <w:tblCaption w:val="Comparison of 2022 casting-credit measures for all study productions and the BBC-related policy cohort"/>
        <w:tblDescription w:val="Rows compare casting credits, unique performers, production coverage, the seven percent contextual midpoint, Diamond counterfactual projections and Ofcom availability."/>
      </w:tblPr>
      <w:tblGrid>
        <w:gridCol w:w="6509"/>
        <w:gridCol w:w="3960"/>
        <w:gridCol w:w="5011"/>
      </w:tblGrid>
      <w:tr>
        <w:trPr>
          <w:tblHeader w:val="true"/>
        </w:trPr>
        <w:tc>
          <w:tcPr>
            <w:tcW w:type="dxa" w:w="5179"/>
            <w:shd w:fill="4472C4"/>
            <w:vAlign w:val="center"/>
            <w:tcMar>
              <w:top w:w="50" w:type="dxa"/>
              <w:start w:w="75" w:type="dxa"/>
              <w:bottom w:w="50" w:type="dxa"/>
              <w:end w:w="75" w:type="dxa"/>
            </w:tcMar>
          </w:tcPr>
          <w:p>
            <w:pPr>
              <w:jc w:val="left"/>
            </w:pPr>
            <w:r>
              <w:rPr>
                <w:rFonts w:ascii="Arial" w:hAnsi="Arial"/>
                <w:b/>
                <w:color w:val="FFFFFF"/>
                <w:sz w:val="16"/>
              </w:rPr>
              <w:t>Measure</w:t>
            </w:r>
          </w:p>
        </w:tc>
        <w:tc>
          <w:tcPr>
            <w:tcW w:type="dxa" w:w="5179"/>
            <w:shd w:fill="4472C4"/>
            <w:vAlign w:val="center"/>
            <w:tcMar>
              <w:top w:w="50" w:type="dxa"/>
              <w:start w:w="75" w:type="dxa"/>
              <w:bottom w:w="50" w:type="dxa"/>
              <w:end w:w="75" w:type="dxa"/>
            </w:tcMar>
          </w:tcPr>
          <w:p>
            <w:pPr>
              <w:jc w:val="left"/>
            </w:pPr>
            <w:r>
              <w:rPr>
                <w:rFonts w:ascii="Arial" w:hAnsi="Arial"/>
                <w:b/>
                <w:color w:val="FFFFFF"/>
                <w:sz w:val="16"/>
              </w:rPr>
              <w:t>All study productions</w:t>
            </w:r>
          </w:p>
        </w:tc>
        <w:tc>
          <w:tcPr>
            <w:tcW w:type="dxa" w:w="5179"/>
            <w:shd w:fill="4472C4"/>
            <w:vAlign w:val="center"/>
            <w:tcMar>
              <w:top w:w="50" w:type="dxa"/>
              <w:start w:w="75" w:type="dxa"/>
              <w:bottom w:w="50" w:type="dxa"/>
              <w:end w:w="75" w:type="dxa"/>
            </w:tcMar>
          </w:tcPr>
          <w:p>
            <w:pPr>
              <w:jc w:val="left"/>
            </w:pPr>
            <w:r>
              <w:rPr>
                <w:rFonts w:ascii="Arial" w:hAnsi="Arial"/>
                <w:b/>
                <w:color w:val="FFFFFF"/>
                <w:sz w:val="16"/>
              </w:rPr>
              <w:t>BBC-related policy cohort</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Eligible casting credits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3,794</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1,345</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Apparent-disability casting credits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18</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9</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Study apparent-disability casting rate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0.47%</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0.67%</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Unique performers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3,428</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1,295</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Unique apparent-disabled performers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14</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8</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Productions containing at least one matched performer</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15 of 82 (18.29%)</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7 of 29 (24.14%)</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Difference from 7% midpoint</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-6.53 percentage points</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-6.33 percentage points</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Diamond perceived disability in Drama</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9.3% (single available control)</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9.3% is not BBC-specific</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Diamond-equivalent credits if directly comparable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352.84 (about 353)</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125.09 (about 125)</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Gap between observed and Diamond-equivalent credits</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334.84 fewer (about 335)</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116.09 fewer (about 116)</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Percentage-point gap from Diamond figure</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-8.83 percentage points</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-8.63 percentage points</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Observed credits as a proportion of projected endpoint</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5.1%</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7.2%</w:t>
            </w:r>
          </w:p>
        </w:tc>
      </w:tr>
      <w:tr>
        <w:tc>
          <w:tcPr>
            <w:tcW w:type="dxa" w:w="6509"/>
            <w:shd w:fill="D9EAF7"/>
            <w:vAlign w:val="center"/>
            <w:tcMar>
              <w:top w:w="36" w:type="dxa"/>
              <w:start w:w="70" w:type="dxa"/>
              <w:bottom w:w="36" w:type="dxa"/>
              <w:end w:w="70" w:type="dxa"/>
            </w:tcMar>
          </w:tcPr>
          <w:p>
            <w:pPr>
              <w:spacing w:after="0"/>
              <w:jc w:val="left"/>
            </w:pPr>
            <w:r>
              <w:rPr>
                <w:rFonts w:ascii="Arial" w:hAnsi="Arial"/>
                <w:color w:val="1F2937"/>
                <w:sz w:val="15"/>
              </w:rPr>
              <w:t>Projected endpoint as share of all casting credits</w:t>
            </w:r>
          </w:p>
        </w:tc>
        <w:tc>
          <w:tcPr>
            <w:tcW w:type="dxa" w:w="3960"/>
            <w:shd w:fill="D9EAF7"/>
            <w:vAlign w:val="center"/>
            <w:tcMar>
              <w:top w:w="36" w:type="dxa"/>
              <w:start w:w="70" w:type="dxa"/>
              <w:bottom w:w="36" w:type="dxa"/>
              <w:end w:w="70" w:type="dxa"/>
            </w:tcMar>
          </w:tcPr>
          <w:p>
            <w:pPr>
              <w:spacing w:after="0"/>
              <w:jc w:val="right"/>
            </w:pPr>
            <w:r>
              <w:rPr>
                <w:rFonts w:ascii="Arial" w:hAnsi="Arial"/>
                <w:color w:val="1F2937"/>
                <w:sz w:val="15"/>
              </w:rPr>
              <w:t>9.3%</w:t>
            </w:r>
          </w:p>
        </w:tc>
        <w:tc>
          <w:tcPr>
            <w:tcW w:type="dxa" w:w="5011"/>
            <w:shd w:fill="D9EAF7"/>
            <w:vAlign w:val="center"/>
            <w:tcMar>
              <w:top w:w="36" w:type="dxa"/>
              <w:start w:w="70" w:type="dxa"/>
              <w:bottom w:w="36" w:type="dxa"/>
              <w:end w:w="70" w:type="dxa"/>
            </w:tcMar>
          </w:tcPr>
          <w:p>
            <w:pPr>
              <w:spacing w:after="0"/>
              <w:jc w:val="right"/>
            </w:pPr>
            <w:r>
              <w:rPr>
                <w:rFonts w:ascii="Arial" w:hAnsi="Arial"/>
                <w:color w:val="1F2937"/>
                <w:sz w:val="15"/>
              </w:rPr>
              <w:t>9.3%</w:t>
            </w:r>
          </w:p>
        </w:tc>
      </w:tr>
      <w:tr>
        <w:tc>
          <w:tcPr>
            <w:tcW w:type="dxa" w:w="6509"/>
            <w:shd w:fill="FFFFFF"/>
            <w:vAlign w:val="center"/>
            <w:tcMar>
              <w:top w:w="36" w:type="dxa"/>
              <w:start w:w="70" w:type="dxa"/>
              <w:bottom w:w="36" w:type="dxa"/>
              <w:end w:w="70" w:type="dxa"/>
            </w:tcMar>
          </w:tcPr>
          <w:p>
            <w:pPr>
              <w:spacing w:after="0"/>
              <w:jc w:val="left"/>
            </w:pPr>
            <w:r>
              <w:rPr>
                <w:rFonts w:ascii="Arial" w:hAnsi="Arial"/>
                <w:color w:val="1F2937"/>
                <w:sz w:val="15"/>
              </w:rPr>
              <w:t>Ofcom BBC Drama portrayal</w:t>
            </w:r>
          </w:p>
        </w:tc>
        <w:tc>
          <w:tcPr>
            <w:tcW w:type="dxa" w:w="3960"/>
            <w:shd w:fill="FFFFFF"/>
            <w:vAlign w:val="center"/>
            <w:tcMar>
              <w:top w:w="36" w:type="dxa"/>
              <w:start w:w="70" w:type="dxa"/>
              <w:bottom w:w="36" w:type="dxa"/>
              <w:end w:w="70" w:type="dxa"/>
            </w:tcMar>
          </w:tcPr>
          <w:p>
            <w:pPr>
              <w:spacing w:after="0"/>
              <w:jc w:val="right"/>
            </w:pPr>
            <w:r>
              <w:rPr>
                <w:rFonts w:ascii="Arial" w:hAnsi="Arial"/>
                <w:color w:val="1F2937"/>
                <w:sz w:val="15"/>
              </w:rPr>
              <w:t>Not applicable</w:t>
            </w:r>
          </w:p>
        </w:tc>
        <w:tc>
          <w:tcPr>
            <w:tcW w:type="dxa" w:w="5011"/>
            <w:shd w:fill="FFFFFF"/>
            <w:vAlign w:val="center"/>
            <w:tcMar>
              <w:top w:w="36" w:type="dxa"/>
              <w:start w:w="70" w:type="dxa"/>
              <w:bottom w:w="36" w:type="dxa"/>
              <w:end w:w="70" w:type="dxa"/>
            </w:tcMar>
          </w:tcPr>
          <w:p>
            <w:pPr>
              <w:spacing w:after="0"/>
              <w:jc w:val="right"/>
            </w:pPr>
            <w:r>
              <w:rPr>
                <w:rFonts w:ascii="Arial" w:hAnsi="Arial"/>
                <w:color w:val="1F2937"/>
                <w:sz w:val="15"/>
              </w:rPr>
              <w:t>Not available</w:t>
            </w:r>
          </w:p>
        </w:tc>
      </w:tr>
    </w:tbl>
    <w:p>
      <w:pPr>
        <w:pStyle w:val="Heading1"/>
        <w:keepNext/>
        <w:spacing w:before="100" w:after="40"/>
      </w:pPr>
      <w:r>
        <w:t>Cohort composition</w:t>
      </w:r>
    </w:p>
    <w:p>
      <w:pPr>
        <w:spacing w:after="60"/>
      </w:pPr>
      <w:r>
        <w:t>The 2022 New Commission Cohort contains 3,500 credits across 74 productions: 16 apparent-disability credits (0.46%). The Earlier-Production Carry-In Cohort contributes 294 credits across eight earlier productions: two apparent-disability credits (0.68%). Together they form 3,794 credits of Combined Annual Casting Activity. Carry-in credits are not described as 2022 new-commission casting.</w:t>
      </w:r>
    </w:p>
    <w:p>
      <w:pPr>
        <w:pStyle w:val="Heading1"/>
        <w:keepNext/>
        <w:spacing w:before="40" w:after="40"/>
      </w:pPr>
      <w:r>
        <w:t>How to read the comparison</w:t>
      </w:r>
    </w:p>
    <w:p>
      <w:pPr>
        <w:spacing w:after="60"/>
      </w:pPr>
      <w:r>
        <w:t>The BBC headline column combines the agreed BBC-related policy cohort. In this year, all included BBC-labelled productions are classified as direct BBC public-service commissions or co-commissions; the narrower Ofcom classification remains explicit in the workbook. Diamond’s 9.3% is the Sixth Cut perceived-disability figure for Drama covering August 2021 to July 2022. It is contribution-based, cross-broadcaster and not a calendar-year casting-credit measure. No suitable 2022-23 Diamond file or BBC scripted-drama-specific Ofcom portrayal percentage was supplied, so neither a two-release range nor an Ofcom substitute has been manufactured.</w:t>
      </w:r>
    </w:p>
    <w:p>
      <w:pPr>
        <w:spacing w:before="20" w:after="0"/>
      </w:pPr>
      <w:r>
        <w:rPr>
          <w:b/>
        </w:rPr>
        <w:t xml:space="preserve">Important limitation: </w:t>
      </w:r>
      <w:r>
        <w:t>The numerical gap is a counterfactual comparison, not a count of disabled roles played by non-disabled actors. It may reflect inauthentic casting, hidden disability revealed in narrative, unregistered disabled performers, different programme populations, producer interpretation, different contribution units or methodological error. Register absence means no established match, not that a performer is non-disabled.</w:t>
      </w:r>
    </w:p>
    <w:p>
      <w:pPr>
        <w:spacing w:before="60" w:after="0"/>
      </w:pPr>
      <w:r>
        <w:rPr>
          <w:b/>
        </w:rPr>
        <w:t xml:space="preserve">Data-quality note: </w:t>
      </w:r>
      <w:r>
        <w:t>Funny Woman is carried to 2023 under the supplied master register. Thirty-seven exact repeated Suspect records were excluded and logged. Three source sheets contained populated rows beyond their declared Batch Index totals; those surplus rows were excluded and documented. All retained source records reconcile to zero difference.</w:t>
      </w:r>
    </w:p>
    <w:sectPr w:rsidR="00FC693F" w:rsidRPr="0006063C" w:rsidSect="00034616">
      <w:pgSz w:w="16834" w:h="11909" w:orient="landscape"/>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1F2937"/>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Television Drama Casting Study Summary</dc:title>
  <dc:subject>Annual comparison of register-matched apparent-disability casting credits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