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rPr>
          <w:color w:val="17365D"/>
        </w:rPr>
        <w:t>2023 Television Drama Casting Study Summary</w:t>
      </w:r>
    </w:p>
    <w:p>
      <w:pPr>
        <w:pStyle w:val="Subtitle"/>
        <w:spacing w:after="100"/>
      </w:pPr>
      <w:r>
        <w:rPr>
          <w:i/>
        </w:rPr>
        <w:t>New commissions, later-series carry-in casting and external contextual controls</w:t>
      </w:r>
    </w:p>
    <w:p>
      <w:pPr>
        <w:pStyle w:val="Heading1"/>
        <w:keepNext/>
        <w:spacing w:before="0" w:after="60"/>
      </w:pPr>
      <w:r>
        <w:t>Annual comparison</w:t>
      </w:r>
    </w:p>
    <w:tbl>
      <w:tblPr>
        <w:tblW w:type="auto" w:w="0"/>
        <w:jc w:val="center"/>
        <w:tblLayout w:type="fixed"/>
        <w:tblLook w:firstColumn="1" w:firstRow="1" w:lastColumn="0" w:lastRow="0" w:noHBand="0" w:noVBand="1" w:val="04A0"/>
        <w:tblCaption w:val="Comparison of 2023 casting-credit measures for all study productions and the BBC-related policy cohort"/>
        <w:tblDescription w:val="Rows compare casting credits, unique performers, production coverage, the seven percent contextual midpoint, Diamond counterfactual projections and Ofcom availability."/>
      </w:tblPr>
      <w:tblGrid>
        <w:gridCol w:w="6509"/>
        <w:gridCol w:w="3960"/>
        <w:gridCol w:w="5011"/>
      </w:tblGrid>
      <w:tr>
        <w:trPr>
          <w:tblHeader w:val="true"/>
        </w:trPr>
        <w:tc>
          <w:tcPr>
            <w:tcW w:type="dxa" w:w="5179"/>
            <w:shd w:fill="4472C4"/>
            <w:vAlign w:val="center"/>
            <w:tcMar>
              <w:top w:w="50" w:type="dxa"/>
              <w:start w:w="75" w:type="dxa"/>
              <w:bottom w:w="50" w:type="dxa"/>
              <w:end w:w="75" w:type="dxa"/>
            </w:tcMar>
          </w:tcPr>
          <w:p>
            <w:pPr>
              <w:jc w:val="left"/>
            </w:pPr>
            <w:r>
              <w:rPr>
                <w:rFonts w:ascii="Arial" w:hAnsi="Arial"/>
                <w:b/>
                <w:color w:val="FFFFFF"/>
                <w:sz w:val="16"/>
              </w:rPr>
              <w:t>Measure</w:t>
            </w:r>
          </w:p>
        </w:tc>
        <w:tc>
          <w:tcPr>
            <w:tcW w:type="dxa" w:w="5179"/>
            <w:shd w:fill="4472C4"/>
            <w:vAlign w:val="center"/>
            <w:tcMar>
              <w:top w:w="50" w:type="dxa"/>
              <w:start w:w="75" w:type="dxa"/>
              <w:bottom w:w="50" w:type="dxa"/>
              <w:end w:w="75" w:type="dxa"/>
            </w:tcMar>
          </w:tcPr>
          <w:p>
            <w:pPr>
              <w:jc w:val="left"/>
            </w:pPr>
            <w:r>
              <w:rPr>
                <w:rFonts w:ascii="Arial" w:hAnsi="Arial"/>
                <w:b/>
                <w:color w:val="FFFFFF"/>
                <w:sz w:val="16"/>
              </w:rPr>
              <w:t>All study productions</w:t>
            </w:r>
          </w:p>
        </w:tc>
        <w:tc>
          <w:tcPr>
            <w:tcW w:type="dxa" w:w="5179"/>
            <w:shd w:fill="4472C4"/>
            <w:vAlign w:val="center"/>
            <w:tcMar>
              <w:top w:w="50" w:type="dxa"/>
              <w:start w:w="75" w:type="dxa"/>
              <w:bottom w:w="50" w:type="dxa"/>
              <w:end w:w="75" w:type="dxa"/>
            </w:tcMar>
          </w:tcPr>
          <w:p>
            <w:pPr>
              <w:jc w:val="left"/>
            </w:pPr>
            <w:r>
              <w:rPr>
                <w:rFonts w:ascii="Arial" w:hAnsi="Arial"/>
                <w:b/>
                <w:color w:val="FFFFFF"/>
                <w:sz w:val="16"/>
              </w:rPr>
              <w:t>BBC-related policy cohort</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Eligible casting credits</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2,889</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1,300</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Apparent-disability casting credits</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23</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10</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Study apparent-disability casting rate</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0.80%</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0.77%</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Unique performers</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2,661</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1,262</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Unique apparent-disabled performers</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17</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10</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Productions containing at least one matched performer</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14 of 68 (20.59%)</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6 of 25 (24.00%)</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Difference from 7% midpoint</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-6.20 percentage points</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-6.23 percentage points</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Diamond perceived disability in Drama</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7.5% to 7.9%</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7.5% to 7.9%; not BBC-specific</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Diamond-equivalent credits if directly comparable</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216.67 to 228.23</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97.50 to 102.70</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Gap between observed and Diamond-equivalent credits</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193.67 to 205.23 fewer</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87.50 to 92.70 fewer</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Percentage-point gap from Diamond range</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6.70 to 7.10 percentage points below</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6.73 to 7.13 percentage points below</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Observed credits as a proportion of projected endpoint</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10.1% to 10.6%</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9.7% to 10.3%</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Projected endpoint as share of all casting credits</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7.5% to 7.9%</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7.5% to 7.9%</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Ofcom BBC Drama portrayal</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Not applicable</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Not available</w:t>
            </w:r>
          </w:p>
        </w:tc>
      </w:tr>
    </w:tbl>
    <w:p>
      <w:pPr>
        <w:pStyle w:val="Heading1"/>
        <w:keepNext/>
        <w:spacing w:before="100" w:after="40"/>
      </w:pPr>
      <w:r>
        <w:t>Cohort composition</w:t>
      </w:r>
    </w:p>
    <w:p>
      <w:pPr>
        <w:spacing w:after="60"/>
      </w:pPr>
      <w:r>
        <w:t>The 2023 New Commission Cohort contains 2,387 credits across 54 productions with supplied cast data: 21 apparent-disability credits (0.88%). The Earlier-Production Carry-In Cohort contributes 502 credits across 14 earlier productions: 2 apparent-disability credits (0.40%). Together they form 2,889 credits of Combined Annual Casting Activity. Carry-in credits are not described as 2023 new-commission casting.</w:t>
      </w:r>
    </w:p>
    <w:p>
      <w:pPr>
        <w:pStyle w:val="Heading1"/>
        <w:keepNext/>
        <w:spacing w:before="40" w:after="40"/>
      </w:pPr>
      <w:r>
        <w:t>How to read the comparison</w:t>
      </w:r>
    </w:p>
    <w:p>
      <w:pPr>
        <w:spacing w:after="60"/>
      </w:pPr>
      <w:r>
        <w:t>The BBC headline column combines the BBC-related policy cohort identified through the master register, including BBC public-service records and the BBC Studios and UKTV relationship retained for Annika. The narrower Ofcom classification remains explicit in the workbook. Diamond’s 7.9% for 2022-23 and 7.5% for August 2023 to July 2024 overlap 2023 for seven and five months respectively. They are contribution-based, cross-broadcaster contextual comparators, not calendar-year casting-credit measures. No BBC scripted-drama-specific Ofcom portrayal percentage was supplied.</w:t>
      </w:r>
    </w:p>
    <w:p>
      <w:pPr>
        <w:spacing w:before="20" w:after="0"/>
      </w:pPr>
      <w:r>
        <w:rPr>
          <w:b/>
        </w:rPr>
        <w:t xml:space="preserve">Important limitation: </w:t>
      </w:r>
      <w:r>
        <w:t>The numerical gap is a counterfactual comparison, not a count of disabled roles played by non-disabled actors. It may reflect inauthentic casting, hidden disability revealed in narrative, unregistered disabled performers, different programme populations, producer interpretation, different contribution units or methodological error. Register absence means no established match, not that a performer is non-disabled. The 7% midpoint is contextual only: it is not a quota, BBC target, acting-workforce estimate or portrayal measure, and cannot by itself establish discrimination, causation or non-compliance.</w:t>
      </w:r>
    </w:p>
    <w:p>
      <w:pPr>
        <w:spacing w:before="60" w:after="0"/>
      </w:pPr>
      <w:r>
        <w:rPr>
          <w:b/>
        </w:rPr>
        <w:t xml:space="preserve">Data-quality note: </w:t>
      </w:r>
      <w:r>
        <w:t>The authoritative 2023 scope contains 63 productions: 62 master-register entries plus Mobility, explicitly confirmed by the study owner as a qualifying commissioned pilot. Cast data is available for 54 productions; nine scope productions have no supplied cast lists. Mobility contributes five casting credits and all five performers have established apparent-disability matches. The full series was never commissioned, so Mobility contributes no future or carry-forward records. The second copy of The Long Shadow produced 103 exact duplicates, which were excluded and logged. Three source sheets contained one populated row beyond their declared Batch Index totals; those rows were excluded and documented. No analytical review records remain and all supplied records reconcile to zero difference.</w:t>
      </w:r>
    </w:p>
    <w:sectPr w:rsidR="00FC693F" w:rsidRPr="0006063C" w:rsidSect="00034616">
      <w:pgSz w:w="16834" w:h="11909" w:orient="landscape"/>
      <w:pgMar w:top="547" w:right="648" w:bottom="547"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color w:val="1F29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1F2937"/>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2023 Television Drama Casting Study Summary</dc:title>
  <dc:subject>Annual comparison of register-matched apparent-disability casting credits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