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Apparent Disability in UK Society</w:t>
      </w:r>
    </w:p>
    <w:p>
      <w:pPr>
        <w:jc w:val="left"/>
      </w:pPr>
      <w:r>
        <w:rPr>
          <w:b/>
          <w:color w:val="2F75B5"/>
          <w:sz w:val="26"/>
        </w:rPr>
        <w:t>A guide to defensible estimates for the working-age population</w:t>
      </w:r>
    </w:p>
    <w:p>
      <w:pPr>
        <w:spacing w:after="280"/>
      </w:pPr>
      <w:r>
        <w:t>Evidence review | August 2026</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pPr>
              <w:spacing w:after="0"/>
            </w:pPr>
            <w:r>
              <w:rPr>
                <w:b/>
                <w:color w:val="17365D"/>
              </w:rPr>
              <w:t>Recommended headline</w:t>
            </w:r>
            <w:r>
              <w:br/>
              <w:t>Approximately 6% to 8% of working-age adults in the UK may have a disability that is apparent to other people in at least some situations. About 7% is a reasonable planning midpoint. This is a modelled estimate, not an official national statistic.</w:t>
            </w:r>
          </w:p>
        </w:tc>
      </w:tr>
    </w:tbl>
    <w:p>
      <w:pPr>
        <w:pStyle w:val="Heading1"/>
      </w:pPr>
      <w:r>
        <w:t>Executive summary</w:t>
      </w:r>
    </w:p>
    <w:p>
      <w:r>
        <w:t>The UK does not publish a single statistic for “apparent disability”. National datasets measure disability, functional impairment, diagnosed conditions, language use, registration or service contact. They do not generally record whether an impairment would be noticeable to another person or visible to a television audience.</w:t>
      </w:r>
    </w:p>
    <w:p>
      <w:r>
        <w:t>The latest Department for Work and Pensions Family Resources Survey estimates that 23% of working-age adults are disabled. Most of these disabilities will not be consistently apparent. Combining the best available evidence for mobility aids, wheelchair use, severe sensory impairment and selected physical differences suggests that a working estimate of 6% to 8% is credible, provided overlap is allowed for and the estimate is clearly labelled as modelled.</w:t>
      </w:r>
    </w:p>
    <w:p>
      <w:r>
        <w:t>The original overall estimate of 8% is therefore close enough for high-level discussion. Its component figures should not, however, be presented as a set of independently verified demographic percentages. Several mix different definitions or age groups, and one combines conditions that cannot meaningfully be measured together.</w:t>
      </w:r>
    </w:p>
    <w:p>
      <w:pPr>
        <w:pStyle w:val="Heading1"/>
      </w:pPr>
      <w:r>
        <w:t>Purpose and scope</w:t>
      </w:r>
    </w:p>
    <w:p>
      <w:r>
        <w:t>This report provides a guide to the likely proportions of disabilities that may be apparent in UK society, with particular attention to working-age adults. It is intended to support discussions of casting, portrayal and the visibility of disabled people in screen drama. It is not a clinical prevalence study and should not be used to determine an individual’s disability status.</w:t>
      </w:r>
    </w:p>
    <w:p>
      <w:r>
        <w:t>For this report, an apparent disability is one that may be recognised by another person in a particular setting through visible physical characteristics, mobility equipment, communication or interaction. Apparency is contextual: a disability may be apparent in one scene, activity or environment and not in another.</w:t>
      </w:r>
    </w:p>
    <w:p>
      <w:pPr>
        <w:pStyle w:val="Heading1"/>
      </w:pPr>
      <w:r>
        <w:t>The principal finding</w:t>
      </w:r>
    </w:p>
    <w:p>
      <w:r>
        <w:t>A range is more defensible than a single percentage. The evidence supports the following formulation:</w:t>
      </w:r>
    </w:p>
    <w:p>
      <w:pPr>
        <w:spacing w:before="100" w:after="180"/>
        <w:ind w:left="432" w:right="432"/>
      </w:pPr>
      <w:r>
        <w:rPr>
          <w:i/>
          <w:color w:val="17365D"/>
        </w:rPr>
        <w:t>“Approximately 6% to 8% of the UK working-age population may have a disability that is apparent in at least some situations. This is a modelled estimate assembled from several sources rather than an official prevalence statistic.”</w:t>
      </w:r>
    </w:p>
    <w:p>
      <w:r>
        <w:t>For calculations requiring one number, 7% should be used as the midpoint. “Around 8%” remains reasonable for an accessible public explanation, but only when accompanied by the methodological qualification above.</w:t>
      </w:r>
    </w:p>
    <w:p>
      <w:pPr>
        <w:pStyle w:val="Heading1"/>
      </w:pPr>
      <w:r>
        <w:t>Recommended proportions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384"/>
            <w:shd w:fill="17365D"/>
            <w:tcMar>
              <w:top w:w="100" w:type="dxa"/>
              <w:start w:w="110" w:type="dxa"/>
              <w:bottom w:w="100" w:type="dxa"/>
              <w:end w:w="110" w:type="dxa"/>
            </w:tcMar>
          </w:tcPr>
          <w:p>
            <w:r>
              <w:rPr>
                <w:b/>
                <w:color w:val="FFFFFF"/>
              </w:rPr>
              <w:t>Group</w:t>
            </w:r>
          </w:p>
        </w:tc>
        <w:tc>
          <w:tcPr>
            <w:tcW w:type="dxa" w:w="1656"/>
            <w:shd w:fill="17365D"/>
            <w:tcMar>
              <w:top w:w="100" w:type="dxa"/>
              <w:start w:w="110" w:type="dxa"/>
              <w:bottom w:w="100" w:type="dxa"/>
              <w:end w:w="110" w:type="dxa"/>
            </w:tcMar>
          </w:tcPr>
          <w:p>
            <w:r>
              <w:rPr>
                <w:b/>
                <w:color w:val="FFFFFF"/>
              </w:rPr>
              <w:t>Guide estimate</w:t>
            </w:r>
          </w:p>
        </w:tc>
        <w:tc>
          <w:tcPr>
            <w:tcW w:type="dxa" w:w="2160"/>
            <w:shd w:fill="17365D"/>
            <w:tcMar>
              <w:top w:w="100" w:type="dxa"/>
              <w:start w:w="110" w:type="dxa"/>
              <w:bottom w:w="100" w:type="dxa"/>
              <w:end w:w="110" w:type="dxa"/>
            </w:tcMar>
          </w:tcPr>
          <w:p>
            <w:r>
              <w:rPr>
                <w:b/>
                <w:color w:val="FFFFFF"/>
              </w:rPr>
              <w:t>Evidence status</w:t>
            </w:r>
          </w:p>
        </w:tc>
        <w:tc>
          <w:tcPr>
            <w:tcW w:type="dxa" w:w="3024"/>
            <w:shd w:fill="17365D"/>
            <w:tcMar>
              <w:top w:w="100" w:type="dxa"/>
              <w:start w:w="110" w:type="dxa"/>
              <w:bottom w:w="100" w:type="dxa"/>
              <w:end w:w="110" w:type="dxa"/>
            </w:tcMar>
          </w:tcPr>
          <w:p>
            <w:r>
              <w:rPr>
                <w:b/>
                <w:color w:val="FFFFFF"/>
              </w:rPr>
              <w:t>Interpretation</w:t>
            </w:r>
          </w:p>
        </w:tc>
      </w:tr>
      <w:tr>
        <w:tc>
          <w:tcPr>
            <w:tcW w:type="dxa" w:w="3384"/>
            <w:tcMar>
              <w:top w:w="100" w:type="dxa"/>
              <w:start w:w="110" w:type="dxa"/>
              <w:bottom w:w="100" w:type="dxa"/>
              <w:end w:w="110" w:type="dxa"/>
            </w:tcMar>
            <w:vAlign w:val="top"/>
          </w:tcPr>
          <w:p>
            <w:pPr>
              <w:spacing w:after="0"/>
            </w:pPr>
            <w:r>
              <w:t>Mobility disability involving walking aids or visibly affected movement, excluding wheelchair use</w:t>
            </w:r>
          </w:p>
        </w:tc>
        <w:tc>
          <w:tcPr>
            <w:tcW w:type="dxa" w:w="1656"/>
            <w:tcMar>
              <w:top w:w="100" w:type="dxa"/>
              <w:start w:w="110" w:type="dxa"/>
              <w:bottom w:w="100" w:type="dxa"/>
              <w:end w:w="110" w:type="dxa"/>
            </w:tcMar>
            <w:vAlign w:val="top"/>
          </w:tcPr>
          <w:p>
            <w:pPr>
              <w:spacing w:after="0"/>
            </w:pPr>
            <w:r>
              <w:t>3%–4%</w:t>
            </w:r>
          </w:p>
        </w:tc>
        <w:tc>
          <w:tcPr>
            <w:tcW w:type="dxa" w:w="2160"/>
            <w:tcMar>
              <w:top w:w="100" w:type="dxa"/>
              <w:start w:w="110" w:type="dxa"/>
              <w:bottom w:w="100" w:type="dxa"/>
              <w:end w:w="110" w:type="dxa"/>
            </w:tcMar>
            <w:vAlign w:val="top"/>
          </w:tcPr>
          <w:p>
            <w:pPr>
              <w:spacing w:after="0"/>
            </w:pPr>
            <w:r>
              <w:t>Modelled</w:t>
            </w:r>
          </w:p>
        </w:tc>
        <w:tc>
          <w:tcPr>
            <w:tcW w:type="dxa" w:w="3024"/>
            <w:tcMar>
              <w:top w:w="100" w:type="dxa"/>
              <w:start w:w="110" w:type="dxa"/>
              <w:bottom w:w="100" w:type="dxa"/>
              <w:end w:w="110" w:type="dxa"/>
            </w:tcMar>
            <w:vAlign w:val="top"/>
          </w:tcPr>
          <w:p>
            <w:pPr>
              <w:spacing w:after="0"/>
            </w:pPr>
            <w:r>
              <w:t>A subset of the much larger population reporting mobility impairment.</w:t>
            </w:r>
          </w:p>
        </w:tc>
      </w:tr>
      <w:tr>
        <w:tc>
          <w:tcPr>
            <w:tcW w:type="dxa" w:w="3384"/>
            <w:tcMar>
              <w:top w:w="100" w:type="dxa"/>
              <w:start w:w="110" w:type="dxa"/>
              <w:bottom w:w="100" w:type="dxa"/>
              <w:end w:w="110" w:type="dxa"/>
            </w:tcMar>
            <w:vAlign w:val="top"/>
            <w:shd w:fill="F4F7FA"/>
          </w:tcPr>
          <w:p>
            <w:pPr>
              <w:spacing w:after="0"/>
            </w:pPr>
            <w:r>
              <w:t>Permanent, regular or ambulatory wheelchair use</w:t>
            </w:r>
          </w:p>
        </w:tc>
        <w:tc>
          <w:tcPr>
            <w:tcW w:type="dxa" w:w="1656"/>
            <w:tcMar>
              <w:top w:w="100" w:type="dxa"/>
              <w:start w:w="110" w:type="dxa"/>
              <w:bottom w:w="100" w:type="dxa"/>
              <w:end w:w="110" w:type="dxa"/>
            </w:tcMar>
            <w:vAlign w:val="top"/>
            <w:shd w:fill="F4F7FA"/>
          </w:tcPr>
          <w:p>
            <w:pPr>
              <w:spacing w:after="0"/>
            </w:pPr>
            <w:r>
              <w:t>1%–1.5%</w:t>
            </w:r>
          </w:p>
        </w:tc>
        <w:tc>
          <w:tcPr>
            <w:tcW w:type="dxa" w:w="2160"/>
            <w:tcMar>
              <w:top w:w="100" w:type="dxa"/>
              <w:start w:w="110" w:type="dxa"/>
              <w:bottom w:w="100" w:type="dxa"/>
              <w:end w:w="110" w:type="dxa"/>
            </w:tcMar>
            <w:vAlign w:val="top"/>
            <w:shd w:fill="F4F7FA"/>
          </w:tcPr>
          <w:p>
            <w:pPr>
              <w:spacing w:after="0"/>
            </w:pPr>
            <w:r>
              <w:t>Approximate</w:t>
            </w:r>
          </w:p>
        </w:tc>
        <w:tc>
          <w:tcPr>
            <w:tcW w:type="dxa" w:w="3024"/>
            <w:tcMar>
              <w:top w:w="100" w:type="dxa"/>
              <w:start w:w="110" w:type="dxa"/>
              <w:bottom w:w="100" w:type="dxa"/>
              <w:end w:w="110" w:type="dxa"/>
            </w:tcMar>
            <w:vAlign w:val="top"/>
            <w:shd w:fill="F4F7FA"/>
          </w:tcPr>
          <w:p>
            <w:pPr>
              <w:spacing w:after="0"/>
            </w:pPr>
            <w:r>
              <w:t>Working-age prevalence is not comprehensively recorded.</w:t>
            </w:r>
          </w:p>
        </w:tc>
      </w:tr>
      <w:tr>
        <w:tc>
          <w:tcPr>
            <w:tcW w:type="dxa" w:w="3384"/>
            <w:tcMar>
              <w:top w:w="100" w:type="dxa"/>
              <w:start w:w="110" w:type="dxa"/>
              <w:bottom w:w="100" w:type="dxa"/>
              <w:end w:w="110" w:type="dxa"/>
            </w:tcMar>
            <w:vAlign w:val="top"/>
          </w:tcPr>
          <w:p>
            <w:pPr>
              <w:spacing w:after="0"/>
            </w:pPr>
            <w:r>
              <w:t>BSL reported as a main language</w:t>
            </w:r>
          </w:p>
        </w:tc>
        <w:tc>
          <w:tcPr>
            <w:tcW w:type="dxa" w:w="1656"/>
            <w:tcMar>
              <w:top w:w="100" w:type="dxa"/>
              <w:start w:w="110" w:type="dxa"/>
              <w:bottom w:w="100" w:type="dxa"/>
              <w:end w:w="110" w:type="dxa"/>
            </w:tcMar>
            <w:vAlign w:val="top"/>
          </w:tcPr>
          <w:p>
            <w:pPr>
              <w:spacing w:after="0"/>
            </w:pPr>
            <w:r>
              <w:t>0.04%</w:t>
            </w:r>
          </w:p>
        </w:tc>
        <w:tc>
          <w:tcPr>
            <w:tcW w:type="dxa" w:w="2160"/>
            <w:tcMar>
              <w:top w:w="100" w:type="dxa"/>
              <w:start w:w="110" w:type="dxa"/>
              <w:bottom w:w="100" w:type="dxa"/>
              <w:end w:w="110" w:type="dxa"/>
            </w:tcMar>
            <w:vAlign w:val="top"/>
          </w:tcPr>
          <w:p>
            <w:pPr>
              <w:spacing w:after="0"/>
            </w:pPr>
            <w:r>
              <w:t>Direct census measure</w:t>
            </w:r>
          </w:p>
        </w:tc>
        <w:tc>
          <w:tcPr>
            <w:tcW w:type="dxa" w:w="3024"/>
            <w:tcMar>
              <w:top w:w="100" w:type="dxa"/>
              <w:start w:w="110" w:type="dxa"/>
              <w:bottom w:w="100" w:type="dxa"/>
              <w:end w:w="110" w:type="dxa"/>
            </w:tcMar>
            <w:vAlign w:val="top"/>
          </w:tcPr>
          <w:p>
            <w:pPr>
              <w:spacing w:after="0"/>
            </w:pPr>
            <w:r>
              <w:t>Does not include everyone who can use BSL.</w:t>
            </w:r>
          </w:p>
        </w:tc>
      </w:tr>
      <w:tr>
        <w:tc>
          <w:tcPr>
            <w:tcW w:type="dxa" w:w="3384"/>
            <w:tcMar>
              <w:top w:w="100" w:type="dxa"/>
              <w:start w:w="110" w:type="dxa"/>
              <w:bottom w:w="100" w:type="dxa"/>
              <w:end w:w="110" w:type="dxa"/>
            </w:tcMar>
            <w:vAlign w:val="top"/>
            <w:shd w:fill="F4F7FA"/>
          </w:tcPr>
          <w:p>
            <w:pPr>
              <w:spacing w:after="0"/>
            </w:pPr>
            <w:r>
              <w:t>Other severe or profound hearing loss</w:t>
            </w:r>
          </w:p>
        </w:tc>
        <w:tc>
          <w:tcPr>
            <w:tcW w:type="dxa" w:w="1656"/>
            <w:tcMar>
              <w:top w:w="100" w:type="dxa"/>
              <w:start w:w="110" w:type="dxa"/>
              <w:bottom w:w="100" w:type="dxa"/>
              <w:end w:w="110" w:type="dxa"/>
            </w:tcMar>
            <w:vAlign w:val="top"/>
            <w:shd w:fill="F4F7FA"/>
          </w:tcPr>
          <w:p>
            <w:pPr>
              <w:spacing w:after="0"/>
            </w:pPr>
            <w:r>
              <w:t>1%–1.5%</w:t>
            </w:r>
          </w:p>
        </w:tc>
        <w:tc>
          <w:tcPr>
            <w:tcW w:type="dxa" w:w="2160"/>
            <w:tcMar>
              <w:top w:w="100" w:type="dxa"/>
              <w:start w:w="110" w:type="dxa"/>
              <w:bottom w:w="100" w:type="dxa"/>
              <w:end w:w="110" w:type="dxa"/>
            </w:tcMar>
            <w:vAlign w:val="top"/>
            <w:shd w:fill="F4F7FA"/>
          </w:tcPr>
          <w:p>
            <w:pPr>
              <w:spacing w:after="0"/>
            </w:pPr>
            <w:r>
              <w:t>Modelled</w:t>
            </w:r>
          </w:p>
        </w:tc>
        <w:tc>
          <w:tcPr>
            <w:tcW w:type="dxa" w:w="3024"/>
            <w:tcMar>
              <w:top w:w="100" w:type="dxa"/>
              <w:start w:w="110" w:type="dxa"/>
              <w:bottom w:w="100" w:type="dxa"/>
              <w:end w:w="110" w:type="dxa"/>
            </w:tcMar>
            <w:vAlign w:val="top"/>
            <w:shd w:fill="F4F7FA"/>
          </w:tcPr>
          <w:p>
            <w:pPr>
              <w:spacing w:after="0"/>
            </w:pPr>
            <w:r>
              <w:t>Age-adjusted approximation; exclude overlap with BSL users.</w:t>
            </w:r>
          </w:p>
        </w:tc>
      </w:tr>
      <w:tr>
        <w:tc>
          <w:tcPr>
            <w:tcW w:type="dxa" w:w="3384"/>
            <w:tcMar>
              <w:top w:w="100" w:type="dxa"/>
              <w:start w:w="110" w:type="dxa"/>
              <w:bottom w:w="100" w:type="dxa"/>
              <w:end w:w="110" w:type="dxa"/>
            </w:tcMar>
            <w:vAlign w:val="top"/>
          </w:tcPr>
          <w:p>
            <w:pPr>
              <w:spacing w:after="0"/>
            </w:pPr>
            <w:r>
              <w:t>Registered blind or partially sighted</w:t>
            </w:r>
          </w:p>
        </w:tc>
        <w:tc>
          <w:tcPr>
            <w:tcW w:type="dxa" w:w="1656"/>
            <w:tcMar>
              <w:top w:w="100" w:type="dxa"/>
              <w:start w:w="110" w:type="dxa"/>
              <w:bottom w:w="100" w:type="dxa"/>
              <w:end w:w="110" w:type="dxa"/>
            </w:tcMar>
            <w:vAlign w:val="top"/>
          </w:tcPr>
          <w:p>
            <w:pPr>
              <w:spacing w:after="0"/>
            </w:pPr>
            <w:r>
              <w:t>0.1%–0.2%</w:t>
            </w:r>
          </w:p>
        </w:tc>
        <w:tc>
          <w:tcPr>
            <w:tcW w:type="dxa" w:w="2160"/>
            <w:tcMar>
              <w:top w:w="100" w:type="dxa"/>
              <w:start w:w="110" w:type="dxa"/>
              <w:bottom w:w="100" w:type="dxa"/>
              <w:end w:w="110" w:type="dxa"/>
            </w:tcMar>
            <w:vAlign w:val="top"/>
          </w:tcPr>
          <w:p>
            <w:pPr>
              <w:spacing w:after="0"/>
            </w:pPr>
            <w:r>
              <w:t>Modelled</w:t>
            </w:r>
          </w:p>
        </w:tc>
        <w:tc>
          <w:tcPr>
            <w:tcW w:type="dxa" w:w="3024"/>
            <w:tcMar>
              <w:top w:w="100" w:type="dxa"/>
              <w:start w:w="110" w:type="dxa"/>
              <w:bottom w:w="100" w:type="dxa"/>
              <w:end w:w="110" w:type="dxa"/>
            </w:tcMar>
            <w:vAlign w:val="top"/>
          </w:tcPr>
          <w:p>
            <w:pPr>
              <w:spacing w:after="0"/>
            </w:pPr>
            <w:r>
              <w:t>Working-age subset of voluntary registration data.</w:t>
            </w:r>
          </w:p>
        </w:tc>
      </w:tr>
      <w:tr>
        <w:tc>
          <w:tcPr>
            <w:tcW w:type="dxa" w:w="3384"/>
            <w:tcMar>
              <w:top w:w="100" w:type="dxa"/>
              <w:start w:w="110" w:type="dxa"/>
              <w:bottom w:w="100" w:type="dxa"/>
              <w:end w:w="110" w:type="dxa"/>
            </w:tcMar>
            <w:vAlign w:val="top"/>
            <w:shd w:fill="F4F7FA"/>
          </w:tcPr>
          <w:p>
            <w:pPr>
              <w:spacing w:after="0"/>
            </w:pPr>
            <w:r>
              <w:t>Other potentially apparent disabilities and differences</w:t>
            </w:r>
          </w:p>
        </w:tc>
        <w:tc>
          <w:tcPr>
            <w:tcW w:type="dxa" w:w="1656"/>
            <w:tcMar>
              <w:top w:w="100" w:type="dxa"/>
              <w:start w:w="110" w:type="dxa"/>
              <w:bottom w:w="100" w:type="dxa"/>
              <w:end w:w="110" w:type="dxa"/>
            </w:tcMar>
            <w:vAlign w:val="top"/>
            <w:shd w:fill="F4F7FA"/>
          </w:tcPr>
          <w:p>
            <w:pPr>
              <w:spacing w:after="0"/>
            </w:pPr>
            <w:r>
              <w:t>Not reliably quantifiable</w:t>
            </w:r>
          </w:p>
        </w:tc>
        <w:tc>
          <w:tcPr>
            <w:tcW w:type="dxa" w:w="2160"/>
            <w:tcMar>
              <w:top w:w="100" w:type="dxa"/>
              <w:start w:w="110" w:type="dxa"/>
              <w:bottom w:w="100" w:type="dxa"/>
              <w:end w:w="110" w:type="dxa"/>
            </w:tcMar>
            <w:vAlign w:val="top"/>
            <w:shd w:fill="F4F7FA"/>
          </w:tcPr>
          <w:p>
            <w:pPr>
              <w:spacing w:after="0"/>
            </w:pPr>
            <w:r>
              <w:t>Insufficient common measure</w:t>
            </w:r>
          </w:p>
        </w:tc>
        <w:tc>
          <w:tcPr>
            <w:tcW w:type="dxa" w:w="3024"/>
            <w:tcMar>
              <w:top w:w="100" w:type="dxa"/>
              <w:start w:w="110" w:type="dxa"/>
              <w:bottom w:w="100" w:type="dxa"/>
              <w:end w:w="110" w:type="dxa"/>
            </w:tcMar>
            <w:vAlign w:val="top"/>
            <w:shd w:fill="F4F7FA"/>
          </w:tcPr>
          <w:p>
            <w:pPr>
              <w:spacing w:after="0"/>
            </w:pPr>
            <w:r>
              <w:t>Requires separate definitions; do not combine autism, syndromes and facial difference.</w:t>
            </w:r>
          </w:p>
        </w:tc>
      </w:tr>
      <w:tr>
        <w:tc>
          <w:tcPr>
            <w:tcW w:type="dxa" w:w="3384"/>
            <w:tcMar>
              <w:top w:w="100" w:type="dxa"/>
              <w:start w:w="110" w:type="dxa"/>
              <w:bottom w:w="100" w:type="dxa"/>
              <w:end w:w="110" w:type="dxa"/>
            </w:tcMar>
            <w:vAlign w:val="top"/>
          </w:tcPr>
          <w:p>
            <w:pPr>
              <w:spacing w:after="0"/>
            </w:pPr>
            <w:r>
              <w:t>Estimated total after overlap</w:t>
            </w:r>
          </w:p>
        </w:tc>
        <w:tc>
          <w:tcPr>
            <w:tcW w:type="dxa" w:w="1656"/>
            <w:tcMar>
              <w:top w:w="100" w:type="dxa"/>
              <w:start w:w="110" w:type="dxa"/>
              <w:bottom w:w="100" w:type="dxa"/>
              <w:end w:w="110" w:type="dxa"/>
            </w:tcMar>
            <w:vAlign w:val="top"/>
          </w:tcPr>
          <w:p>
            <w:pPr>
              <w:spacing w:after="0"/>
            </w:pPr>
            <w:r>
              <w:t>6%–8%</w:t>
            </w:r>
          </w:p>
        </w:tc>
        <w:tc>
          <w:tcPr>
            <w:tcW w:type="dxa" w:w="2160"/>
            <w:tcMar>
              <w:top w:w="100" w:type="dxa"/>
              <w:start w:w="110" w:type="dxa"/>
              <w:bottom w:w="100" w:type="dxa"/>
              <w:end w:w="110" w:type="dxa"/>
            </w:tcMar>
            <w:vAlign w:val="top"/>
          </w:tcPr>
          <w:p>
            <w:pPr>
              <w:spacing w:after="0"/>
            </w:pPr>
            <w:r>
              <w:t>Modelled range</w:t>
            </w:r>
          </w:p>
        </w:tc>
        <w:tc>
          <w:tcPr>
            <w:tcW w:type="dxa" w:w="3024"/>
            <w:tcMar>
              <w:top w:w="100" w:type="dxa"/>
              <w:start w:w="110" w:type="dxa"/>
              <w:bottom w:w="100" w:type="dxa"/>
              <w:end w:w="110" w:type="dxa"/>
            </w:tcMar>
            <w:vAlign w:val="top"/>
          </w:tcPr>
          <w:p>
            <w:pPr>
              <w:spacing w:after="0"/>
            </w:pPr>
            <w:r>
              <w:t>Use about 7% as a planning midpoint.</w:t>
            </w:r>
          </w:p>
        </w:tc>
      </w:tr>
    </w:tbl>
    <w:p>
      <w:pPr>
        <w:pStyle w:val="Heading1"/>
      </w:pPr>
      <w:r>
        <w:t>Findings by disability group</w:t>
      </w:r>
    </w:p>
    <w:p>
      <w:pPr>
        <w:pStyle w:val="Heading2"/>
      </w:pPr>
      <w:r>
        <w:t>1. Mobility disability, walking aids, cerebral palsy and limb difference</w:t>
      </w:r>
    </w:p>
    <w:p>
      <w:r>
        <w:t>The proposed 3.6% is plausible as a planning estimate but cannot be validated as a single measured category. Cerebral palsy, limb difference and walking-aid use describe different things and may overlap with wheelchair use.</w:t>
      </w:r>
    </w:p>
    <w:p>
      <w:r>
        <w:t>NICE estimates that approximately one in 400 adults has cerebral palsy, or about 0.25%. The prevalence of limb loss and congenital limb difference is much lower than the prevalence of mobility difficulty. By contrast, around 40% of disabled working-age adults report a mobility impairment. Applied to a working-age disability prevalence of approximately 23%, this indicates that roughly 9% of all working-age adults experience some mobility impairment. Many of those impairments will not be externally apparent and many people will not use an aid.</w:t>
      </w:r>
    </w:p>
    <w:p>
      <w:r>
        <w:t>A range of 3% to 4% for mobility disability likely to be apparent through walking, movement or use of an aid is therefore a reasonable modelled subset. It must not be described as an ONS or DWP finding.</w:t>
      </w:r>
    </w:p>
    <w:p>
      <w:pPr>
        <w:pStyle w:val="Heading2"/>
      </w:pPr>
      <w:r>
        <w:t>2. Wheelchair users</w:t>
      </w:r>
    </w:p>
    <w:p>
      <w:r>
        <w:t>The commonly cited estimate of approximately 1.2 million wheelchair users equates to about 1.5% to 2% of the whole UK population. It includes permanent, regular, occasional and ambulatory users. The available evidence does not provide a definitive working-age prevalence, and wheelchair use is more common among older people.</w:t>
      </w:r>
    </w:p>
    <w:p>
      <w:r>
        <w:t>NHS wheelchair-service data are valuable for service activity but do not capture every privately purchased, borrowed or intermittently used wheelchair. The Wheelchair Alliance states explicitly that accurate national wheelchair-user data do not exist. A working-age guide of 1% to 1.5% is consequently safer than 1.7%, while 1.5% to 2% remains reasonable for an all-age estimate.</w:t>
      </w:r>
    </w:p>
    <w:p>
      <w:pPr>
        <w:pStyle w:val="Heading2"/>
      </w:pPr>
      <w:r>
        <w:t>3. BSL users</w:t>
      </w:r>
    </w:p>
    <w:p>
      <w:r>
        <w:t>The 2021 Census recorded approximately 22,000 people in England and Wales who reported British Sign Language as their main language, equivalent to 0.04% of residents aged three and over. This is the strongest directly measured figure in the proposed set.</w:t>
      </w:r>
    </w:p>
    <w:p>
      <w:r>
        <w:t>It is not a count of everyone who uses BSL. Bilingual Deaf people may report English as their main language, while hearing relatives and interpreters may also use BSL. If the measure is specifically “BSL as a main language”, use 0.04%. A broader 0.1% planning assumption may be possible, but it should not be presented as the census result.</w:t>
      </w:r>
    </w:p>
    <w:p>
      <w:pPr>
        <w:pStyle w:val="Heading2"/>
      </w:pPr>
      <w:r>
        <w:t>4. Severe or profound hearing loss</w:t>
      </w:r>
    </w:p>
    <w:p>
      <w:r>
        <w:t>RNID estimates that about 900,000 UK adults have severe or profound hearing loss and that a larger group would struggle to hear most conversational speech. Prevalence rises steeply with age, so an all-adult figure cannot be transferred directly to people aged 18 to 65.</w:t>
      </w:r>
    </w:p>
    <w:p>
      <w:r>
        <w:t>A working estimate of 1% to 1.5% for working-age adults with severe or profound hearing loss is broadly credible. The total should exclude people already counted in the BSL category and should not imply that hearing loss will always be visually apparent.</w:t>
      </w:r>
    </w:p>
    <w:p>
      <w:pPr>
        <w:pStyle w:val="Heading2"/>
      </w:pPr>
      <w:r>
        <w:t>5. Blind and vision-impaired people</w:t>
      </w:r>
    </w:p>
    <w:p>
      <w:r>
        <w:t>RNIB reports approximately 323,000 registered blind and partially sighted people across the UK, about 0.5% of the total population. Registration is voluntary and sight loss is concentrated among older adults. The original figure of 0.6% is therefore too high if it is intended to mean working-age people registered as blind.</w:t>
      </w:r>
    </w:p>
    <w:p>
      <w:r>
        <w:t>A range of 0.1% to 0.2% is more defensible for working-age adults registered as blind or partially sighted. This does not represent everyone with significant sight loss, nor will every registered person’s disability be apparent without a mobility aid, cane, guide dog or relevant activity.</w:t>
      </w:r>
    </w:p>
    <w:p>
      <w:pPr>
        <w:pStyle w:val="Heading2"/>
      </w:pPr>
      <w:r>
        <w:t>6. Other apparent disabilities and differences</w:t>
      </w:r>
    </w:p>
    <w:p>
      <w:r>
        <w:t>The proposed 0.7% category combining severe autism, “medical disability”, facial difference, Down syndrome and other syndromes should be removed. These populations have different definitions, data sources and patterns of apparency. Some are not necessarily apparent at all.</w:t>
      </w:r>
    </w:p>
    <w:p>
      <w:r>
        <w:t>Down syndrome may be measured as a specific genetic condition. Facial difference requires an agreed threshold because prevalence varies substantially depending on whether common scars and skin conditions are included. Autism should not be treated as apparent solely because a person has higher support needs. “Medical disability” and “other syndromes” are too broad to support a percentage.</w:t>
      </w:r>
    </w:p>
    <w:p>
      <w:pPr>
        <w:pStyle w:val="Heading1"/>
      </w:pPr>
      <w:r>
        <w:t>Why the categories cannot simply be added</w:t>
      </w:r>
    </w:p>
    <w:p>
      <w:r>
        <w:t>The same person can belong to several groups. A Deaf wheelchair user with cerebral palsy, for example, could appear in three component estimates but must count once in a population total. Registration and service datasets also have different coverage, while some figures include children or older adults and others cover only working-age adults.</w:t>
      </w:r>
    </w:p>
    <w:p>
      <w:r>
        <w:t>The recommended 6% to 8% total therefore includes an allowance for intersection and overlap. It is not the arithmetic sum of the upper limits in the table.</w:t>
      </w:r>
    </w:p>
    <w:p>
      <w:pPr>
        <w:pStyle w:val="Heading1"/>
      </w:pPr>
      <w:r>
        <w:t>How to use the estimate</w:t>
      </w:r>
    </w:p>
    <w:p>
      <w:pPr>
        <w:pStyle w:val="ListBullet"/>
      </w:pPr>
      <w:r>
        <w:t>Use 6% to 8% when describing the likely proportion of working-age adults whose disability may be apparent in at least some contexts.</w:t>
      </w:r>
    </w:p>
    <w:p>
      <w:pPr>
        <w:pStyle w:val="ListBullet"/>
      </w:pPr>
      <w:r>
        <w:t>Use approximately 7% when a single planning assumption is unavoidable.</w:t>
      </w:r>
    </w:p>
    <w:p>
      <w:pPr>
        <w:pStyle w:val="ListBullet"/>
      </w:pPr>
      <w:r>
        <w:t>Describe the number as a modelled range, not an official UK prevalence statistic.</w:t>
      </w:r>
    </w:p>
    <w:p>
      <w:pPr>
        <w:pStyle w:val="ListBullet"/>
      </w:pPr>
      <w:r>
        <w:t>Keep the official overall figure separate: approximately 23% of working-age adults are disabled.</w:t>
      </w:r>
    </w:p>
    <w:p>
      <w:pPr>
        <w:pStyle w:val="ListBullet"/>
      </w:pPr>
      <w:r>
        <w:t>Do not describe the remaining disabled population simply as “hidden”; use non-apparent, non-visible or not consistently apparent where appropriate.</w:t>
      </w:r>
    </w:p>
    <w:p>
      <w:pPr>
        <w:pStyle w:val="ListBullet"/>
      </w:pPr>
      <w:r>
        <w:t>Do not infer whether a particular person is disabled from appearance, movement, communication or use of equipment.</w:t>
      </w:r>
    </w:p>
    <w:p>
      <w:pPr>
        <w:pStyle w:val="ListBullet"/>
      </w:pPr>
      <w:r>
        <w:t>For portrayal analysis, record what an audience can reasonably perceive from the production, while keeping that separate from how an actor privately identifies.</w:t>
      </w:r>
    </w:p>
    <w:p>
      <w:pPr>
        <w:pStyle w:val="Heading1"/>
      </w:pPr>
      <w:r>
        <w:t>Recommended statement for reports and presentations</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t>Around 23% of working-age adults in the UK are disabled, although most disabilities are not consistently apparent to other people. Available evidence on mobility, wheelchair use, severe sensory impairment and selected physical differences suggests that approximately 6% to 8% of working-age adults may have a disability that would be apparent to an audience in at least some circumstances. This is a modelled range rather than an official national statistic because UK datasets do not directly measure disability apparency, categories overlap and visibility depends on context.</w:t>
            </w:r>
          </w:p>
        </w:tc>
      </w:tr>
    </w:tbl>
    <w:p>
      <w:pPr>
        <w:pStyle w:val="Heading1"/>
      </w:pPr>
      <w:r>
        <w:t>Limitations</w:t>
      </w:r>
    </w:p>
    <w:p>
      <w:r>
        <w:t>This guide combines evidence collected for different purposes and, in some cases, different UK nations. “Working age” is not consistently defined: government publications may use 16 to 64, 16 to State Pension age or another age band. The requested 18-to-65 group is not routinely published across all relevant datasets.</w:t>
      </w:r>
    </w:p>
    <w:p>
      <w:r>
        <w:t>The analysis also cannot determine whether an impairment would be apparent on screen. Camera position, costume, dialogue, action, assistive equipment and narrative context all affect what an audience perceives. The figures are best used as an indication of scale and as a benchmark for investigating absence, not as a casting quota for individual impairment groups.</w:t>
      </w:r>
    </w:p>
    <w:p>
      <w:pPr>
        <w:pStyle w:val="Heading1"/>
      </w:pPr>
      <w:r>
        <w:t>Sources</w:t>
      </w:r>
    </w:p>
    <w:p>
      <w:pPr>
        <w:spacing w:after="140"/>
      </w:pPr>
      <w:r>
        <w:rPr>
          <w:b/>
        </w:rPr>
        <w:t xml:space="preserve">1. Family Resources Survey: financial year 2024 to 2025. </w:t>
      </w:r>
      <w:r>
        <w:t xml:space="preserve">Department for Work and Pensions. Reports that 23% of working-age adults were disabled. </w:t>
      </w:r>
      <w:hyperlink r:id="rId9">
        <w:r>
          <w:rPr>
            <w:color w:val="2F75B5"/>
            <w:u w:val="single"/>
          </w:rPr>
          <w:t>Open source</w:t>
        </w:r>
      </w:hyperlink>
    </w:p>
    <w:p>
      <w:pPr>
        <w:spacing w:after="140"/>
      </w:pPr>
      <w:r>
        <w:rPr>
          <w:b/>
        </w:rPr>
        <w:t xml:space="preserve">2. Family Resources Survey: financial year 2023 to 2024. </w:t>
      </w:r>
      <w:r>
        <w:t xml:space="preserve">Department for Work and Pensions. Provides disability prevalence and impairment-type tables, including mobility impairment. </w:t>
      </w:r>
      <w:hyperlink r:id="rId10">
        <w:r>
          <w:rPr>
            <w:color w:val="2F75B5"/>
            <w:u w:val="single"/>
          </w:rPr>
          <w:t>Open source</w:t>
        </w:r>
      </w:hyperlink>
    </w:p>
    <w:p>
      <w:pPr>
        <w:spacing w:after="140"/>
      </w:pPr>
      <w:r>
        <w:rPr>
          <w:b/>
        </w:rPr>
        <w:t xml:space="preserve">3. Language, England and Wales: Census 2021. </w:t>
      </w:r>
      <w:r>
        <w:t xml:space="preserve">Office for National Statistics. Reports approximately 22,000 residents, or 0.04%, with BSL as their main language. </w:t>
      </w:r>
      <w:hyperlink r:id="rId11">
        <w:r>
          <w:rPr>
            <w:color w:val="2F75B5"/>
            <w:u w:val="single"/>
          </w:rPr>
          <w:t>Open source</w:t>
        </w:r>
      </w:hyperlink>
    </w:p>
    <w:p>
      <w:pPr>
        <w:spacing w:after="140"/>
      </w:pPr>
      <w:r>
        <w:rPr>
          <w:b/>
        </w:rPr>
        <w:t xml:space="preserve">4. Prevalence of deafness and hearing loss. </w:t>
      </w:r>
      <w:r>
        <w:t xml:space="preserve">RNID. Provides current UK estimates for hearing loss and difficulty hearing conversational speech. </w:t>
      </w:r>
      <w:hyperlink r:id="rId12">
        <w:r>
          <w:rPr>
            <w:color w:val="2F75B5"/>
            <w:u w:val="single"/>
          </w:rPr>
          <w:t>Open source</w:t>
        </w:r>
      </w:hyperlink>
    </w:p>
    <w:p>
      <w:pPr>
        <w:spacing w:after="140"/>
      </w:pPr>
      <w:r>
        <w:rPr>
          <w:b/>
        </w:rPr>
        <w:t xml:space="preserve">5. Communication guidance for health and social-care professionals. </w:t>
      </w:r>
      <w:r>
        <w:t xml:space="preserve">RNID. Reports the estimated number of UK adults with severe or profound hearing loss. </w:t>
      </w:r>
      <w:hyperlink r:id="rId13">
        <w:r>
          <w:rPr>
            <w:color w:val="2F75B5"/>
            <w:u w:val="single"/>
          </w:rPr>
          <w:t>Open source</w:t>
        </w:r>
      </w:hyperlink>
    </w:p>
    <w:p>
      <w:pPr>
        <w:spacing w:after="140"/>
      </w:pPr>
      <w:r>
        <w:rPr>
          <w:b/>
        </w:rPr>
        <w:t xml:space="preserve">6. Registered blind and partially sighted people and CVI: England 2022–23. </w:t>
      </w:r>
      <w:r>
        <w:t xml:space="preserve">RNIB. Provides a UK overview of registration totals. </w:t>
      </w:r>
      <w:hyperlink r:id="rId14">
        <w:r>
          <w:rPr>
            <w:color w:val="2F75B5"/>
            <w:u w:val="single"/>
          </w:rPr>
          <w:t>Open source</w:t>
        </w:r>
      </w:hyperlink>
    </w:p>
    <w:p>
      <w:pPr>
        <w:spacing w:after="140"/>
      </w:pPr>
      <w:r>
        <w:rPr>
          <w:b/>
        </w:rPr>
        <w:t xml:space="preserve">7. Key information and statistics on sight loss in the UK. </w:t>
      </w:r>
      <w:r>
        <w:t xml:space="preserve">RNIB. Explains the distinction between the wider sight-loss population and the registered population. </w:t>
      </w:r>
      <w:hyperlink r:id="rId15">
        <w:r>
          <w:rPr>
            <w:color w:val="2F75B5"/>
            <w:u w:val="single"/>
          </w:rPr>
          <w:t>Open source</w:t>
        </w:r>
      </w:hyperlink>
    </w:p>
    <w:p>
      <w:pPr>
        <w:spacing w:after="140"/>
      </w:pPr>
      <w:r>
        <w:rPr>
          <w:b/>
        </w:rPr>
        <w:t xml:space="preserve">8. Cerebral palsy in adults: impact on NHS workforce and resources. </w:t>
      </w:r>
      <w:r>
        <w:t xml:space="preserve">National Institute for Health and Care Excellence. Estimates cerebral palsy prevalence at approximately one in 400 adults. </w:t>
      </w:r>
      <w:hyperlink r:id="rId16">
        <w:r>
          <w:rPr>
            <w:color w:val="2F75B5"/>
            <w:u w:val="single"/>
          </w:rPr>
          <w:t>Open source</w:t>
        </w:r>
      </w:hyperlink>
    </w:p>
    <w:p>
      <w:pPr>
        <w:spacing w:after="140"/>
      </w:pPr>
      <w:r>
        <w:rPr>
          <w:b/>
        </w:rPr>
        <w:t xml:space="preserve">9. Wheelchair data collection. </w:t>
      </w:r>
      <w:r>
        <w:t xml:space="preserve">NHS England. Describes the national wheelchair-services dataset and its service-planning purpose. </w:t>
      </w:r>
      <w:hyperlink r:id="rId17">
        <w:r>
          <w:rPr>
            <w:color w:val="2F75B5"/>
            <w:u w:val="single"/>
          </w:rPr>
          <w:t>Open source</w:t>
        </w:r>
      </w:hyperlink>
    </w:p>
    <w:p>
      <w:pPr>
        <w:spacing w:after="140"/>
      </w:pPr>
      <w:r>
        <w:rPr>
          <w:b/>
        </w:rPr>
        <w:t xml:space="preserve">10. Wheelchair Alliance reports. </w:t>
      </w:r>
      <w:r>
        <w:t xml:space="preserve">Wheelchair Alliance. Explains the limitations and absence of complete national wheelchair-user prevalence data. </w:t>
      </w:r>
      <w:hyperlink r:id="rId18">
        <w:r>
          <w:rPr>
            <w:color w:val="2F75B5"/>
            <w:u w:val="single"/>
          </w:rPr>
          <w:t>Open source</w:t>
        </w:r>
      </w:hyperlink>
    </w:p>
    <w:p>
      <w:pPr>
        <w:spacing w:after="140"/>
      </w:pPr>
      <w:r>
        <w:rPr>
          <w:b/>
        </w:rPr>
        <w:t xml:space="preserve">11. Disability, accessibility and Blue Badge statistics, England 2023 to 2024. </w:t>
      </w:r>
      <w:r>
        <w:t xml:space="preserve">Department for Transport. Provides contextual UK disability and accessibility statistics. </w:t>
      </w:r>
      <w:hyperlink r:id="rId19">
        <w:r>
          <w:rPr>
            <w:color w:val="2F75B5"/>
            <w:u w:val="single"/>
          </w:rPr>
          <w:t>Open source</w:t>
        </w:r>
      </w:hyperlink>
    </w:p>
    <w:sectPr w:rsidR="00FC693F" w:rsidRPr="0006063C" w:rsidSect="00034616">
      <w:footerReference w:type="default" r:id="rId2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Apparent Disability in UK Society | Evidence review,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v.uk/government/statistics/family-resources-survey-financial-year-2024-to-2025/family-resources-survey-financial-year-2024-to-2025" TargetMode="External"/><Relationship Id="rId10" Type="http://schemas.openxmlformats.org/officeDocument/2006/relationships/hyperlink" Target="https://www.gov.uk/government/statistics/family-resources-survey-financial-year-2023-to-2024/family-resources-survey-financial-year-2023-to-2024" TargetMode="External"/><Relationship Id="rId11" Type="http://schemas.openxmlformats.org/officeDocument/2006/relationships/hyperlink" Target="https://www.ons.gov.uk/peoplepopulationandcommunity/culturalidentity/language/bulletins/languageenglandandwales/census2021" TargetMode="External"/><Relationship Id="rId12" Type="http://schemas.openxmlformats.org/officeDocument/2006/relationships/hyperlink" Target="https://rnid.org.uk/what-we-do/data-and-evidence/deafness-and-hearing-loss-prevalence/" TargetMode="External"/><Relationship Id="rId13" Type="http://schemas.openxmlformats.org/officeDocument/2006/relationships/hyperlink" Target="https://rnid.org.uk/employers-and-professionals/healthcare-professionals/communicating-with-patients/" TargetMode="External"/><Relationship Id="rId14" Type="http://schemas.openxmlformats.org/officeDocument/2006/relationships/hyperlink" Target="https://www.rnib.org.uk/professionals/research-and-data/reports-and-insight/registered-blind-and-partially-sighted-people-and-cvi-england-22-23/" TargetMode="External"/><Relationship Id="rId15" Type="http://schemas.openxmlformats.org/officeDocument/2006/relationships/hyperlink" Target="https://www.rnib.org.uk/professionals/research-and-data/key-information-and-statistics-on-sight-loss-in-the-uk/" TargetMode="External"/><Relationship Id="rId16" Type="http://schemas.openxmlformats.org/officeDocument/2006/relationships/hyperlink" Target="https://www.nice.org.uk/guidance/ng119/resources/impact-on-nhs-workforce-and-resources-6658196077" TargetMode="External"/><Relationship Id="rId17" Type="http://schemas.openxmlformats.org/officeDocument/2006/relationships/hyperlink" Target="https://www.england.nhs.uk/statistics/statistical-work-areas/national-wheelchair/" TargetMode="External"/><Relationship Id="rId18" Type="http://schemas.openxmlformats.org/officeDocument/2006/relationships/hyperlink" Target="https://www.wheelchair-alliance.co.uk/wheelchair-alliance-reports" TargetMode="External"/><Relationship Id="rId19" Type="http://schemas.openxmlformats.org/officeDocument/2006/relationships/hyperlink" Target="https://www.gov.uk/government/statistics/disability-accessibility-and-blue-badge-scheme-statistics-2023-to-2024/disability-accessibility-and-blue-badge-statistics-england-2023-to-2024"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Apparent Disability in UK Society</dc:title>
  <dc:subject>Guide to proportions of apparent disabilities in the UK working-age population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