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Impact of Mobility on 2023 Casting Statistics</w:t>
      </w:r>
    </w:p>
    <w:p>
      <w:pPr>
        <w:pStyle w:val="Subtitle"/>
        <w:spacing w:after="100"/>
      </w:pPr>
      <w:r>
        <w:t>Sensitivity report on a BAFTA winning short comedy pilot that was not commissioned as a full series</w:t>
      </w:r>
    </w:p>
    <w:p>
      <w:pPr>
        <w:spacing w:after="80" w:line="245" w:lineRule="auto"/>
      </w:pPr>
      <w:r>
        <w:rPr>
          <w:rFonts w:ascii="Arial" w:hAnsi="Arial"/>
          <w:b/>
          <w:i w:val="0"/>
          <w:color w:val="17365D"/>
          <w:sz w:val="18"/>
        </w:rPr>
        <w:t xml:space="preserve">Conclusion. </w:t>
      </w:r>
      <w:r>
        <w:rPr>
          <w:rFonts w:ascii="Arial" w:hAnsi="Arial"/>
          <w:b w:val="0"/>
          <w:i w:val="0"/>
          <w:color w:val="1F2937"/>
          <w:sz w:val="18"/>
        </w:rPr>
        <w:t>Mobility should remain in the 2023 New Commission Cohort and the combined BBC-related policy cohort. Its five casting credits are valid, and all five are apparent-disability credits. Because the pilot is very small and has a 100% apparent-disability casting rate, it materially lifts the annual percentages despite contributing less than 0.4% of any relevant denominator. The appropriate treatment is to retain the headline results and report a with-and-without-Mobility sensitivity, not to remove the production.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i w:val="0"/>
          <w:color w:val="17365D"/>
          <w:sz w:val="21"/>
        </w:rPr>
        <w:t>Measured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rPr>
          <w:tblHeader w:val="true"/>
        </w:trPr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With Mobility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Without Mobility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Uplift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Relative uplift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Denominator share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Share of apparent credits</w:t>
            </w:r>
          </w:p>
        </w:tc>
      </w:tr>
      <w:tr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2937"/>
                <w:sz w:val="16"/>
              </w:rPr>
              <w:t>New Commission Cohort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21/2,387  0.88%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16/2,382  0.67%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+0.21 pp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+31.0%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0.21%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23.8%</w:t>
            </w:r>
          </w:p>
        </w:tc>
      </w:tr>
      <w:tr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2937"/>
                <w:sz w:val="16"/>
              </w:rPr>
              <w:t>Combined Annual Casting Activity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23/2,889  0.80%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18/2,884  0.62%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+0.17 pp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+27.6%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0.17%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21.7%</w:t>
            </w:r>
          </w:p>
        </w:tc>
      </w:tr>
      <w:tr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2937"/>
                <w:sz w:val="16"/>
              </w:rPr>
              <w:t>Combined BBC-related policy cohort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15/1,305  1.15%</w:t>
            </w:r>
          </w:p>
        </w:tc>
        <w:tc>
          <w:tcPr>
            <w:tcW w:type="dxa" w:w="16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10/1,300  0.77%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+0.38 pp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+49.4%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0.38%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33.3%</w:t>
            </w:r>
          </w:p>
        </w:tc>
      </w:tr>
    </w:tbl>
    <w:p>
      <w:pPr>
        <w:pStyle w:val="Heading1"/>
        <w:keepNext/>
        <w:spacing w:before="100" w:after="40"/>
      </w:pPr>
      <w:r>
        <w:rPr>
          <w:rFonts w:ascii="Arial" w:hAnsi="Arial"/>
          <w:b/>
          <w:i w:val="0"/>
          <w:color w:val="17365D"/>
          <w:sz w:val="21"/>
        </w:rPr>
        <w:t>Why the effect is disproportionate</w:t>
      </w:r>
    </w:p>
    <w:p>
      <w:pPr>
        <w:spacing w:after="40" w:line="245" w:lineRule="auto"/>
      </w:pPr>
      <w:r>
        <w:rPr>
          <w:rFonts w:ascii="Arial" w:hAnsi="Arial"/>
          <w:b w:val="0"/>
          <w:i w:val="0"/>
          <w:color w:val="1F2937"/>
          <w:sz w:val="17"/>
        </w:rPr>
        <w:t>Mobility contributes only five of 2,387 New Commission credits, five of 2,889 Combined Annual Casting Activity credits, and five of 1,305 BBC-related credits. Yet those five records account for 23.8%, 21.7% and 33.3% of the apparent-disability credits in those cohorts respectively. The largest effect is therefore within the BBC-related cohort: its rate rises from 0.77% without Mobility to 1.15% with it, an uplift of 0.38 percentage points or 49.4% relative to the without-Mobility rate.</w:t>
      </w:r>
    </w:p>
    <w:p>
      <w:pPr>
        <w:pStyle w:val="Heading1"/>
        <w:keepNext/>
        <w:spacing w:before="100" w:after="40"/>
      </w:pPr>
      <w:r>
        <w:rPr>
          <w:rFonts w:ascii="Arial" w:hAnsi="Arial"/>
          <w:b/>
          <w:i w:val="0"/>
          <w:color w:val="17365D"/>
          <w:sz w:val="21"/>
        </w:rPr>
        <w:t>Recommended reporting treatment</w:t>
      </w:r>
    </w:p>
    <w:p>
      <w:pPr>
        <w:spacing w:after="40" w:line="240" w:lineRule="auto"/>
        <w:ind w:left="259" w:hanging="202"/>
      </w:pPr>
      <w:r>
        <w:rPr>
          <w:rFonts w:ascii="Arial" w:hAnsi="Arial"/>
          <w:b/>
          <w:i w:val="0"/>
          <w:color w:val="4472C4"/>
          <w:sz w:val="17"/>
        </w:rPr>
        <w:t xml:space="preserve">• </w:t>
      </w:r>
      <w:r>
        <w:rPr>
          <w:rFonts w:ascii="Arial" w:hAnsi="Arial"/>
          <w:b w:val="0"/>
          <w:i w:val="0"/>
          <w:color w:val="1F2937"/>
          <w:sz w:val="17"/>
        </w:rPr>
        <w:t>Retain Mobility in both headline cohorts because it meets the agreed scope rules and is not a data error.</w:t>
      </w:r>
    </w:p>
    <w:p>
      <w:pPr>
        <w:spacing w:after="40" w:line="240" w:lineRule="auto"/>
        <w:ind w:left="259" w:hanging="202"/>
      </w:pPr>
      <w:r>
        <w:rPr>
          <w:rFonts w:ascii="Arial" w:hAnsi="Arial"/>
          <w:b/>
          <w:i w:val="0"/>
          <w:color w:val="4472C4"/>
          <w:sz w:val="17"/>
        </w:rPr>
        <w:t xml:space="preserve">• </w:t>
      </w:r>
      <w:r>
        <w:rPr>
          <w:rFonts w:ascii="Arial" w:hAnsi="Arial"/>
          <w:b w:val="0"/>
          <w:i w:val="0"/>
          <w:color w:val="1F2937"/>
          <w:sz w:val="17"/>
        </w:rPr>
        <w:t>Flag it as an influential small-denominator production and publish the sensitivity figures above alongside the headline result.</w:t>
      </w:r>
    </w:p>
    <w:p>
      <w:pPr>
        <w:spacing w:after="40" w:line="240" w:lineRule="auto"/>
        <w:ind w:left="259" w:hanging="202"/>
      </w:pPr>
      <w:r>
        <w:rPr>
          <w:rFonts w:ascii="Arial" w:hAnsi="Arial"/>
          <w:b/>
          <w:i w:val="0"/>
          <w:color w:val="4472C4"/>
          <w:sz w:val="17"/>
        </w:rPr>
        <w:t xml:space="preserve">• </w:t>
      </w:r>
      <w:r>
        <w:rPr>
          <w:rFonts w:ascii="Arial" w:hAnsi="Arial"/>
          <w:b w:val="0"/>
          <w:i w:val="0"/>
          <w:color w:val="1F2937"/>
          <w:sz w:val="17"/>
        </w:rPr>
        <w:t>Explain that the absence of a full-series commission means there are no Mobility records to carry into 2024; this affects longitudinal continuity, not eligibility in 2023.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17365D"/>
          <w:sz w:val="16"/>
        </w:rPr>
        <w:t xml:space="preserve">Terminology. </w:t>
      </w:r>
      <w:r>
        <w:rPr>
          <w:rFonts w:ascii="Arial" w:hAnsi="Arial"/>
          <w:b w:val="0"/>
          <w:i w:val="0"/>
          <w:color w:val="1F2937"/>
          <w:sz w:val="16"/>
        </w:rPr>
        <w:t>The calculated measure is the apparent-disability casting rate: register-matched apparent-disability casting credits divided by eligible casting credits. It should not be described as a proven authentic-casting percentage because the study does not link every performer classification to a character disability and casting decision.</w:t>
      </w:r>
    </w:p>
    <w:sectPr w:rsidR="00FC693F" w:rsidRPr="0006063C" w:rsidSect="00034616">
      <w:pgSz w:w="16834" w:h="11909" w:orient="landscape"/>
      <w:pgMar w:top="605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1F293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Mobility on 2023 Casting Statistics</dc:title>
  <dc:subject>Sensitivity analysis of Mobility within the 2023 New Commission and BBC-related policy cohorts</dc:subject>
  <dc:creator>python-docx</dc:creator>
  <cp:keywords>Mobility, 2023, BBC, disability, casting, sensitivity</cp:keywords>
  <dc:description>Prepared from the corrected 2023 casting analysis and study-owner classifications.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