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pPr>
    </w:p>
    <w:p>
      <w:pPr>
        <w:widowControl/>
        <w:jc w:val="center"/>
      </w:pPr>
      <w:r>
        <w:rPr>
          <w:b/>
          <w:color w:val="2E74B5"/>
          <w:sz w:val="22"/>
        </w:rPr>
        <w:t>RESEARCH AND VERIFICATION RAG</w:t>
      </w:r>
    </w:p>
    <w:p>
      <w:pPr>
        <w:widowControl/>
        <w:jc w:val="center"/>
      </w:pPr>
      <w:r>
        <w:rPr>
          <w:b/>
          <w:color w:val="17365D"/>
          <w:sz w:val="54"/>
        </w:rPr>
        <w:t>Performer Disability</w:t>
        <w:br/>
        <w:t>Self-Disclosure Research RAG</w:t>
      </w:r>
    </w:p>
    <w:p>
      <w:pPr>
        <w:widowControl/>
        <w:jc w:val="center"/>
      </w:pPr>
      <w:r>
        <w:rPr>
          <w:color w:val="1F4D78"/>
          <w:sz w:val="26"/>
        </w:rPr>
        <w:t>Evidence, identity, classification and verification rules for ambiguous performer-list research</w:t>
      </w:r>
    </w:p>
    <w:p>
      <w:pPr>
        <w:widowControl/>
      </w:pPr>
    </w:p>
    <w:tbl>
      <w:tblPr>
        <w:tblW w:type="dxa" w:w="9360"/>
        <w:jc w:val="center"/>
        <w:tblLayout w:type="fixed"/>
        <w:tblLook w:firstColumn="1" w:firstRow="1" w:lastColumn="0" w:lastRow="0" w:noHBand="0" w:noVBand="1" w:val="04A0"/>
      </w:tblPr>
      <w:tblGrid>
        <w:gridCol w:w="4896"/>
        <w:gridCol w:w="4896"/>
      </w:tblGrid>
      <w:tr>
        <w:trPr>
          <w:tblHeader/>
        </w:trPr>
        <w:tc>
          <w:tcPr>
            <w:tcW w:type="dxa" w:w="2448"/>
            <w:vAlign w:val="center"/>
            <w:tcMar>
              <w:top w:w="80" w:type="dxa"/>
              <w:start w:w="120" w:type="dxa"/>
              <w:bottom w:w="80" w:type="dxa"/>
              <w:end w:w="120" w:type="dxa"/>
            </w:tcMar>
            <w:shd w:fill="2E74B5"/>
          </w:tcPr>
          <w:p>
            <w:pPr>
              <w:spacing w:after="0" w:line="264" w:lineRule="auto"/>
            </w:pPr>
            <w:r/>
            <w:r>
              <w:rPr>
                <w:rFonts w:ascii="Calibri" w:hAnsi="Calibri"/>
                <w:b/>
                <w:color w:val="FFFFFF"/>
                <w:sz w:val="18"/>
              </w:rPr>
              <w:t>Document field</w:t>
            </w:r>
          </w:p>
        </w:tc>
        <w:tc>
          <w:tcPr>
            <w:tcW w:type="dxa" w:w="6912"/>
            <w:vAlign w:val="center"/>
            <w:tcMar>
              <w:top w:w="80" w:type="dxa"/>
              <w:start w:w="120" w:type="dxa"/>
              <w:bottom w:w="80" w:type="dxa"/>
              <w:end w:w="120" w:type="dxa"/>
            </w:tcMar>
            <w:shd w:fill="2E74B5"/>
          </w:tcPr>
          <w:p>
            <w:pPr>
              <w:spacing w:after="0" w:line="264" w:lineRule="auto"/>
            </w:pPr>
            <w:r/>
            <w:r>
              <w:rPr>
                <w:rFonts w:ascii="Calibri" w:hAnsi="Calibri"/>
                <w:b/>
                <w:color w:val="FFFFFF"/>
                <w:sz w:val="18"/>
              </w:rPr>
              <w:t>Value</w:t>
            </w:r>
          </w:p>
        </w:tc>
      </w:tr>
      <w:tr>
        <w:trPr/>
        <w:tc>
          <w:tcPr>
            <w:tcW w:type="dxa" w:w="2448"/>
            <w:vAlign w:val="center"/>
            <w:tcMar>
              <w:top w:w="80" w:type="dxa"/>
              <w:start w:w="120" w:type="dxa"/>
              <w:bottom w:w="80" w:type="dxa"/>
              <w:end w:w="120" w:type="dxa"/>
            </w:tcMar>
            <w:shd w:fill="E8EEF5"/>
          </w:tcPr>
          <w:p>
            <w:pPr>
              <w:spacing w:after="0" w:line="264" w:lineRule="auto"/>
            </w:pPr>
            <w:r/>
            <w:r>
              <w:rPr>
                <w:rFonts w:ascii="Calibri" w:hAnsi="Calibri"/>
                <w:b w:val="0"/>
                <w:sz w:val="18"/>
              </w:rPr>
              <w:t>Version</w:t>
            </w:r>
          </w:p>
        </w:tc>
        <w:tc>
          <w:tcPr>
            <w:tcW w:type="dxa" w:w="6912"/>
            <w:vAlign w:val="center"/>
            <w:tcMar>
              <w:top w:w="80" w:type="dxa"/>
              <w:start w:w="120" w:type="dxa"/>
              <w:bottom w:w="80" w:type="dxa"/>
              <w:end w:w="120" w:type="dxa"/>
            </w:tcMar>
            <w:shd w:fill="E8EEF5"/>
          </w:tcPr>
          <w:p>
            <w:pPr>
              <w:spacing w:after="0" w:line="264" w:lineRule="auto"/>
            </w:pPr>
            <w:r/>
            <w:r>
              <w:rPr>
                <w:rFonts w:ascii="Calibri" w:hAnsi="Calibri"/>
                <w:b w:val="0"/>
                <w:sz w:val="18"/>
              </w:rPr>
              <w:t>1.0</w:t>
            </w:r>
          </w:p>
        </w:tc>
      </w:tr>
      <w:tr>
        <w:trPr/>
        <w:tc>
          <w:tcPr>
            <w:tcW w:type="dxa" w:w="2448"/>
            <w:vAlign w:val="center"/>
            <w:tcMar>
              <w:top w:w="80" w:type="dxa"/>
              <w:start w:w="120" w:type="dxa"/>
              <w:bottom w:w="80" w:type="dxa"/>
              <w:end w:w="120" w:type="dxa"/>
            </w:tcMar>
            <w:shd w:fill="FFFFFF"/>
          </w:tcPr>
          <w:p>
            <w:pPr>
              <w:spacing w:after="0" w:line="264" w:lineRule="auto"/>
            </w:pPr>
            <w:r/>
            <w:r>
              <w:rPr>
                <w:rFonts w:ascii="Calibri" w:hAnsi="Calibri"/>
                <w:b w:val="0"/>
                <w:sz w:val="18"/>
              </w:rPr>
              <w:t>Status</w:t>
            </w:r>
          </w:p>
        </w:tc>
        <w:tc>
          <w:tcPr>
            <w:tcW w:type="dxa" w:w="6912"/>
            <w:vAlign w:val="center"/>
            <w:tcMar>
              <w:top w:w="80" w:type="dxa"/>
              <w:start w:w="120" w:type="dxa"/>
              <w:bottom w:w="80" w:type="dxa"/>
              <w:end w:w="120" w:type="dxa"/>
            </w:tcMar>
            <w:shd w:fill="FFFFFF"/>
          </w:tcPr>
          <w:p>
            <w:pPr>
              <w:spacing w:after="0" w:line="264" w:lineRule="auto"/>
            </w:pPr>
            <w:r/>
            <w:r>
              <w:rPr>
                <w:rFonts w:ascii="Calibri" w:hAnsi="Calibri"/>
                <w:b w:val="0"/>
                <w:sz w:val="18"/>
              </w:rPr>
              <w:t>Controlled research reference</w:t>
            </w:r>
          </w:p>
        </w:tc>
      </w:tr>
      <w:tr>
        <w:trPr/>
        <w:tc>
          <w:tcPr>
            <w:tcW w:type="dxa" w:w="2448"/>
            <w:vAlign w:val="center"/>
            <w:tcMar>
              <w:top w:w="80" w:type="dxa"/>
              <w:start w:w="120" w:type="dxa"/>
              <w:bottom w:w="80" w:type="dxa"/>
              <w:end w:w="120" w:type="dxa"/>
            </w:tcMar>
            <w:shd w:fill="E8EEF5"/>
          </w:tcPr>
          <w:p>
            <w:pPr>
              <w:spacing w:after="0" w:line="264" w:lineRule="auto"/>
            </w:pPr>
            <w:r/>
            <w:r>
              <w:rPr>
                <w:rFonts w:ascii="Calibri" w:hAnsi="Calibri"/>
                <w:b w:val="0"/>
                <w:sz w:val="18"/>
              </w:rPr>
              <w:t>Compatible prompt</w:t>
            </w:r>
          </w:p>
        </w:tc>
        <w:tc>
          <w:tcPr>
            <w:tcW w:type="dxa" w:w="6912"/>
            <w:vAlign w:val="center"/>
            <w:tcMar>
              <w:top w:w="80" w:type="dxa"/>
              <w:start w:w="120" w:type="dxa"/>
              <w:bottom w:w="80" w:type="dxa"/>
              <w:end w:w="120" w:type="dxa"/>
            </w:tcMar>
            <w:shd w:fill="E8EEF5"/>
          </w:tcPr>
          <w:p>
            <w:pPr>
              <w:spacing w:after="0" w:line="264" w:lineRule="auto"/>
            </w:pPr>
            <w:r/>
            <w:r>
              <w:rPr>
                <w:rFonts w:ascii="Calibri" w:hAnsi="Calibri"/>
                <w:b w:val="0"/>
                <w:sz w:val="18"/>
              </w:rPr>
              <w:t>Ambiguous performer-list research and master-register update prompt</w:t>
            </w:r>
          </w:p>
        </w:tc>
      </w:tr>
      <w:tr>
        <w:trPr/>
        <w:tc>
          <w:tcPr>
            <w:tcW w:type="dxa" w:w="2448"/>
            <w:vAlign w:val="center"/>
            <w:tcMar>
              <w:top w:w="80" w:type="dxa"/>
              <w:start w:w="120" w:type="dxa"/>
              <w:bottom w:w="80" w:type="dxa"/>
              <w:end w:w="120" w:type="dxa"/>
            </w:tcMar>
            <w:shd w:fill="FFFFFF"/>
          </w:tcPr>
          <w:p>
            <w:pPr>
              <w:spacing w:after="0" w:line="264" w:lineRule="auto"/>
            </w:pPr>
            <w:r/>
            <w:r>
              <w:rPr>
                <w:rFonts w:ascii="Calibri" w:hAnsi="Calibri"/>
                <w:b w:val="0"/>
                <w:sz w:val="18"/>
              </w:rPr>
              <w:t>Primary purpose</w:t>
            </w:r>
          </w:p>
        </w:tc>
        <w:tc>
          <w:tcPr>
            <w:tcW w:type="dxa" w:w="6912"/>
            <w:vAlign w:val="center"/>
            <w:tcMar>
              <w:top w:w="80" w:type="dxa"/>
              <w:start w:w="120" w:type="dxa"/>
              <w:bottom w:w="80" w:type="dxa"/>
              <w:end w:w="120" w:type="dxa"/>
            </w:tcMar>
            <w:shd w:fill="FFFFFF"/>
          </w:tcPr>
          <w:p>
            <w:pPr>
              <w:spacing w:after="0" w:line="264" w:lineRule="auto"/>
            </w:pPr>
            <w:r/>
            <w:r>
              <w:rPr>
                <w:rFonts w:ascii="Calibri" w:hAnsi="Calibri"/>
                <w:b w:val="0"/>
                <w:sz w:val="18"/>
              </w:rPr>
              <w:t>Support accurate, non-speculative classification based on public performer self-disclosure</w:t>
            </w:r>
          </w:p>
        </w:tc>
      </w:tr>
      <w:tr>
        <w:trPr/>
        <w:tc>
          <w:tcPr>
            <w:tcW w:type="dxa" w:w="2448"/>
            <w:vAlign w:val="center"/>
            <w:tcMar>
              <w:top w:w="80" w:type="dxa"/>
              <w:start w:w="120" w:type="dxa"/>
              <w:bottom w:w="80" w:type="dxa"/>
              <w:end w:w="120" w:type="dxa"/>
            </w:tcMar>
            <w:shd w:fill="E8EEF5"/>
          </w:tcPr>
          <w:p>
            <w:pPr>
              <w:spacing w:after="0" w:line="264" w:lineRule="auto"/>
            </w:pPr>
            <w:r/>
            <w:r>
              <w:rPr>
                <w:rFonts w:ascii="Calibri" w:hAnsi="Calibri"/>
                <w:b w:val="0"/>
                <w:sz w:val="18"/>
              </w:rPr>
              <w:t>Review trigger</w:t>
            </w:r>
          </w:p>
        </w:tc>
        <w:tc>
          <w:tcPr>
            <w:tcW w:type="dxa" w:w="6912"/>
            <w:vAlign w:val="center"/>
            <w:tcMar>
              <w:top w:w="80" w:type="dxa"/>
              <w:start w:w="120" w:type="dxa"/>
              <w:bottom w:w="80" w:type="dxa"/>
              <w:end w:w="120" w:type="dxa"/>
            </w:tcMar>
            <w:shd w:fill="E8EEF5"/>
          </w:tcPr>
          <w:p>
            <w:pPr>
              <w:spacing w:after="0" w:line="264" w:lineRule="auto"/>
            </w:pPr>
            <w:r/>
            <w:r>
              <w:rPr>
                <w:rFonts w:ascii="Calibri" w:hAnsi="Calibri"/>
                <w:b w:val="0"/>
                <w:sz w:val="18"/>
              </w:rPr>
              <w:t>Any change to categories, evidence threshold, terminology or workbook schema</w:t>
            </w:r>
          </w:p>
        </w:tc>
      </w:tr>
    </w:tbl>
    <w:p>
      <w:pPr>
        <w:widowControl/>
        <w:spacing w:after="40"/>
      </w:pPr>
    </w:p>
    <w:p>
      <w:pPr>
        <w:pStyle w:val="RAGNote"/>
        <w:keepLines/>
        <w:widowControl/>
        <w:shd w:fill="F4F6F9"/>
      </w:pPr>
      <w:r>
        <w:rPr>
          <w:b/>
          <w:color w:val="1F4D78"/>
        </w:rPr>
        <w:t xml:space="preserve">Core rule: </w:t>
      </w:r>
      <w:r>
        <w:t>A performer may be classified only when qualifying public evidence attributes the relevant identity, condition or impairment to that performer. The RAG never authorises diagnosis by inference.</w:t>
      </w:r>
    </w:p>
    <w:p>
      <w:pPr>
        <w:widowControl/>
      </w:pPr>
      <w:r>
        <w:br w:type="page"/>
      </w:r>
    </w:p>
    <w:p>
      <w:pPr>
        <w:pStyle w:val="Heading1"/>
        <w:widowControl/>
      </w:pPr>
      <w:r>
        <w:t>Contents and retrieval routing</w:t>
      </w:r>
    </w:p>
    <w:p>
      <w:pPr>
        <w:widowControl/>
      </w:pPr>
      <w:r>
        <w:t>This RAG is designed for selective retrieval. Load the governing sections required for the current decision rather than treating the whole document as a single undifferentiated instruction block.</w:t>
      </w:r>
    </w:p>
    <w:tbl>
      <w:tblPr>
        <w:tblW w:type="dxa" w:w="9360"/>
        <w:jc w:val="center"/>
        <w:tblLayout w:type="fixed"/>
        <w:tblLook w:firstColumn="1" w:firstRow="1" w:lastColumn="0" w:lastRow="0" w:noHBand="0" w:noVBand="1" w:val="04A0"/>
      </w:tblPr>
      <w:tblGrid>
        <w:gridCol w:w="4896"/>
        <w:gridCol w:w="4896"/>
      </w:tblGrid>
      <w:tr>
        <w:trPr>
          <w:tblHeader/>
        </w:trPr>
        <w:tc>
          <w:tcPr>
            <w:tcW w:type="dxa" w:w="3096"/>
            <w:vAlign w:val="center"/>
            <w:tcMar>
              <w:top w:w="80" w:type="dxa"/>
              <w:start w:w="120" w:type="dxa"/>
              <w:bottom w:w="80" w:type="dxa"/>
              <w:end w:w="120" w:type="dxa"/>
            </w:tcMar>
            <w:shd w:fill="2E74B5"/>
          </w:tcPr>
          <w:p>
            <w:pPr>
              <w:spacing w:after="0" w:line="264" w:lineRule="auto"/>
            </w:pPr>
            <w:r/>
            <w:r>
              <w:rPr>
                <w:rFonts w:ascii="Calibri" w:hAnsi="Calibri"/>
                <w:b/>
                <w:color w:val="FFFFFF"/>
                <w:sz w:val="18"/>
              </w:rPr>
              <w:t>When the task is…</w:t>
            </w:r>
          </w:p>
        </w:tc>
        <w:tc>
          <w:tcPr>
            <w:tcW w:type="dxa" w:w="6264"/>
            <w:vAlign w:val="center"/>
            <w:tcMar>
              <w:top w:w="80" w:type="dxa"/>
              <w:start w:w="120" w:type="dxa"/>
              <w:bottom w:w="80" w:type="dxa"/>
              <w:end w:w="120" w:type="dxa"/>
            </w:tcMar>
            <w:shd w:fill="2E74B5"/>
          </w:tcPr>
          <w:p>
            <w:pPr>
              <w:spacing w:after="0" w:line="264" w:lineRule="auto"/>
            </w:pPr>
            <w:r/>
            <w:r>
              <w:rPr>
                <w:rFonts w:ascii="Calibri" w:hAnsi="Calibri"/>
                <w:b/>
                <w:color w:val="FFFFFF"/>
                <w:sz w:val="18"/>
              </w:rPr>
              <w:t>Retrieve these sections</w:t>
            </w:r>
          </w:p>
        </w:tc>
      </w:tr>
      <w:tr>
        <w:trPr/>
        <w:tc>
          <w:tcPr>
            <w:tcW w:type="dxa" w:w="3096"/>
            <w:vAlign w:val="center"/>
            <w:tcMar>
              <w:top w:w="80" w:type="dxa"/>
              <w:start w:w="120" w:type="dxa"/>
              <w:bottom w:w="80" w:type="dxa"/>
              <w:end w:w="120" w:type="dxa"/>
            </w:tcMar>
            <w:shd w:fill="E8EEF5"/>
          </w:tcPr>
          <w:p>
            <w:pPr>
              <w:spacing w:after="0" w:line="264" w:lineRule="auto"/>
            </w:pPr>
            <w:r/>
            <w:r>
              <w:rPr>
                <w:rFonts w:ascii="Calibri" w:hAnsi="Calibri"/>
                <w:b w:val="0"/>
                <w:sz w:val="18"/>
              </w:rPr>
              <w:t>Setting up a batch</w:t>
            </w:r>
          </w:p>
        </w:tc>
        <w:tc>
          <w:tcPr>
            <w:tcW w:type="dxa" w:w="6264"/>
            <w:vAlign w:val="center"/>
            <w:tcMar>
              <w:top w:w="80" w:type="dxa"/>
              <w:start w:w="120" w:type="dxa"/>
              <w:bottom w:w="80" w:type="dxa"/>
              <w:end w:w="120" w:type="dxa"/>
            </w:tcMar>
            <w:shd w:fill="E8EEF5"/>
          </w:tcPr>
          <w:p>
            <w:pPr>
              <w:spacing w:after="0" w:line="264" w:lineRule="auto"/>
            </w:pPr>
            <w:r/>
            <w:r>
              <w:rPr>
                <w:rFonts w:ascii="Calibri" w:hAnsi="Calibri"/>
                <w:b w:val="0"/>
                <w:sz w:val="18"/>
              </w:rPr>
              <w:t>1–4, 15 and 16</w:t>
            </w:r>
          </w:p>
        </w:tc>
      </w:tr>
      <w:tr>
        <w:trPr/>
        <w:tc>
          <w:tcPr>
            <w:tcW w:type="dxa" w:w="3096"/>
            <w:vAlign w:val="center"/>
            <w:tcMar>
              <w:top w:w="80" w:type="dxa"/>
              <w:start w:w="120" w:type="dxa"/>
              <w:bottom w:w="80" w:type="dxa"/>
              <w:end w:w="120" w:type="dxa"/>
            </w:tcMar>
            <w:shd w:fill="FFFFFF"/>
          </w:tcPr>
          <w:p>
            <w:pPr>
              <w:spacing w:after="0" w:line="264" w:lineRule="auto"/>
            </w:pPr>
            <w:r/>
            <w:r>
              <w:rPr>
                <w:rFonts w:ascii="Calibri" w:hAnsi="Calibri"/>
                <w:b w:val="0"/>
                <w:sz w:val="18"/>
              </w:rPr>
              <w:t>Resolving identity</w:t>
            </w:r>
          </w:p>
        </w:tc>
        <w:tc>
          <w:tcPr>
            <w:tcW w:type="dxa" w:w="6264"/>
            <w:vAlign w:val="center"/>
            <w:tcMar>
              <w:top w:w="80" w:type="dxa"/>
              <w:start w:w="120" w:type="dxa"/>
              <w:bottom w:w="80" w:type="dxa"/>
              <w:end w:w="120" w:type="dxa"/>
            </w:tcMar>
            <w:shd w:fill="FFFFFF"/>
          </w:tcPr>
          <w:p>
            <w:pPr>
              <w:spacing w:after="0" w:line="264" w:lineRule="auto"/>
            </w:pPr>
            <w:r/>
            <w:r>
              <w:rPr>
                <w:rFonts w:ascii="Calibri" w:hAnsi="Calibri"/>
                <w:b w:val="0"/>
                <w:sz w:val="18"/>
              </w:rPr>
              <w:t>5 and 14</w:t>
            </w:r>
          </w:p>
        </w:tc>
      </w:tr>
      <w:tr>
        <w:trPr/>
        <w:tc>
          <w:tcPr>
            <w:tcW w:type="dxa" w:w="3096"/>
            <w:vAlign w:val="center"/>
            <w:tcMar>
              <w:top w:w="80" w:type="dxa"/>
              <w:start w:w="120" w:type="dxa"/>
              <w:bottom w:w="80" w:type="dxa"/>
              <w:end w:w="120" w:type="dxa"/>
            </w:tcMar>
            <w:shd w:fill="E8EEF5"/>
          </w:tcPr>
          <w:p>
            <w:pPr>
              <w:spacing w:after="0" w:line="264" w:lineRule="auto"/>
            </w:pPr>
            <w:r/>
            <w:r>
              <w:rPr>
                <w:rFonts w:ascii="Calibri" w:hAnsi="Calibri"/>
                <w:b w:val="0"/>
                <w:sz w:val="18"/>
              </w:rPr>
              <w:t>Searching for disclosures</w:t>
            </w:r>
          </w:p>
        </w:tc>
        <w:tc>
          <w:tcPr>
            <w:tcW w:type="dxa" w:w="6264"/>
            <w:vAlign w:val="center"/>
            <w:tcMar>
              <w:top w:w="80" w:type="dxa"/>
              <w:start w:w="120" w:type="dxa"/>
              <w:bottom w:w="80" w:type="dxa"/>
              <w:end w:w="120" w:type="dxa"/>
            </w:tcMar>
            <w:shd w:fill="E8EEF5"/>
          </w:tcPr>
          <w:p>
            <w:pPr>
              <w:spacing w:after="0" w:line="264" w:lineRule="auto"/>
            </w:pPr>
            <w:r/>
            <w:r>
              <w:rPr>
                <w:rFonts w:ascii="Calibri" w:hAnsi="Calibri"/>
                <w:b w:val="0"/>
                <w:sz w:val="18"/>
              </w:rPr>
              <w:t>6–8 and the relevant category in section 9</w:t>
            </w:r>
          </w:p>
        </w:tc>
      </w:tr>
      <w:tr>
        <w:trPr/>
        <w:tc>
          <w:tcPr>
            <w:tcW w:type="dxa" w:w="3096"/>
            <w:vAlign w:val="center"/>
            <w:tcMar>
              <w:top w:w="80" w:type="dxa"/>
              <w:start w:w="120" w:type="dxa"/>
              <w:bottom w:w="80" w:type="dxa"/>
              <w:end w:w="120" w:type="dxa"/>
            </w:tcMar>
            <w:shd w:fill="FFFFFF"/>
          </w:tcPr>
          <w:p>
            <w:pPr>
              <w:spacing w:after="0" w:line="264" w:lineRule="auto"/>
            </w:pPr>
            <w:r/>
            <w:r>
              <w:rPr>
                <w:rFonts w:ascii="Calibri" w:hAnsi="Calibri"/>
                <w:b w:val="0"/>
                <w:sz w:val="18"/>
              </w:rPr>
              <w:t>Assessing a source</w:t>
            </w:r>
          </w:p>
        </w:tc>
        <w:tc>
          <w:tcPr>
            <w:tcW w:type="dxa" w:w="6264"/>
            <w:vAlign w:val="center"/>
            <w:tcMar>
              <w:top w:w="80" w:type="dxa"/>
              <w:start w:w="120" w:type="dxa"/>
              <w:bottom w:w="80" w:type="dxa"/>
              <w:end w:w="120" w:type="dxa"/>
            </w:tcMar>
            <w:shd w:fill="FFFFFF"/>
          </w:tcPr>
          <w:p>
            <w:pPr>
              <w:spacing w:after="0" w:line="264" w:lineRule="auto"/>
            </w:pPr>
            <w:r/>
            <w:r>
              <w:rPr>
                <w:rFonts w:ascii="Calibri" w:hAnsi="Calibri"/>
                <w:b w:val="0"/>
                <w:sz w:val="18"/>
              </w:rPr>
              <w:t>6, 7, 10 and 14</w:t>
            </w:r>
          </w:p>
        </w:tc>
      </w:tr>
      <w:tr>
        <w:trPr/>
        <w:tc>
          <w:tcPr>
            <w:tcW w:type="dxa" w:w="3096"/>
            <w:vAlign w:val="center"/>
            <w:tcMar>
              <w:top w:w="80" w:type="dxa"/>
              <w:start w:w="120" w:type="dxa"/>
              <w:bottom w:w="80" w:type="dxa"/>
              <w:end w:w="120" w:type="dxa"/>
            </w:tcMar>
            <w:shd w:fill="E8EEF5"/>
          </w:tcPr>
          <w:p>
            <w:pPr>
              <w:spacing w:after="0" w:line="264" w:lineRule="auto"/>
            </w:pPr>
            <w:r/>
            <w:r>
              <w:rPr>
                <w:rFonts w:ascii="Calibri" w:hAnsi="Calibri"/>
                <w:b w:val="0"/>
                <w:sz w:val="18"/>
              </w:rPr>
              <w:t>Classifying a performer</w:t>
            </w:r>
          </w:p>
        </w:tc>
        <w:tc>
          <w:tcPr>
            <w:tcW w:type="dxa" w:w="6264"/>
            <w:vAlign w:val="center"/>
            <w:tcMar>
              <w:top w:w="80" w:type="dxa"/>
              <w:start w:w="120" w:type="dxa"/>
              <w:bottom w:w="80" w:type="dxa"/>
              <w:end w:w="120" w:type="dxa"/>
            </w:tcMar>
            <w:shd w:fill="E8EEF5"/>
          </w:tcPr>
          <w:p>
            <w:pPr>
              <w:spacing w:after="0" w:line="264" w:lineRule="auto"/>
            </w:pPr>
            <w:r/>
            <w:r>
              <w:rPr>
                <w:rFonts w:ascii="Calibri" w:hAnsi="Calibri"/>
                <w:b w:val="0"/>
                <w:sz w:val="18"/>
              </w:rPr>
              <w:t>4, 8, the relevant part of 9, and 11</w:t>
            </w:r>
          </w:p>
        </w:tc>
      </w:tr>
      <w:tr>
        <w:trPr/>
        <w:tc>
          <w:tcPr>
            <w:tcW w:type="dxa" w:w="3096"/>
            <w:vAlign w:val="center"/>
            <w:tcMar>
              <w:top w:w="80" w:type="dxa"/>
              <w:start w:w="120" w:type="dxa"/>
              <w:bottom w:w="80" w:type="dxa"/>
              <w:end w:w="120" w:type="dxa"/>
            </w:tcMar>
            <w:shd w:fill="FFFFFF"/>
          </w:tcPr>
          <w:p>
            <w:pPr>
              <w:spacing w:after="0" w:line="264" w:lineRule="auto"/>
            </w:pPr>
            <w:r/>
            <w:r>
              <w:rPr>
                <w:rFonts w:ascii="Calibri" w:hAnsi="Calibri"/>
                <w:b w:val="0"/>
                <w:sz w:val="18"/>
              </w:rPr>
              <w:t>Verifying a proposed finding</w:t>
            </w:r>
          </w:p>
        </w:tc>
        <w:tc>
          <w:tcPr>
            <w:tcW w:type="dxa" w:w="6264"/>
            <w:vAlign w:val="center"/>
            <w:tcMar>
              <w:top w:w="80" w:type="dxa"/>
              <w:start w:w="120" w:type="dxa"/>
              <w:bottom w:w="80" w:type="dxa"/>
              <w:end w:w="120" w:type="dxa"/>
            </w:tcMar>
            <w:shd w:fill="FFFFFF"/>
          </w:tcPr>
          <w:p>
            <w:pPr>
              <w:spacing w:after="0" w:line="264" w:lineRule="auto"/>
            </w:pPr>
            <w:r/>
            <w:r>
              <w:rPr>
                <w:rFonts w:ascii="Calibri" w:hAnsi="Calibri"/>
                <w:b w:val="0"/>
                <w:sz w:val="18"/>
              </w:rPr>
              <w:t>10–13 and the relevant part of 9</w:t>
            </w:r>
          </w:p>
        </w:tc>
      </w:tr>
      <w:tr>
        <w:trPr/>
        <w:tc>
          <w:tcPr>
            <w:tcW w:type="dxa" w:w="3096"/>
            <w:vAlign w:val="center"/>
            <w:tcMar>
              <w:top w:w="80" w:type="dxa"/>
              <w:start w:w="120" w:type="dxa"/>
              <w:bottom w:w="80" w:type="dxa"/>
              <w:end w:w="120" w:type="dxa"/>
            </w:tcMar>
            <w:shd w:fill="E8EEF5"/>
          </w:tcPr>
          <w:p>
            <w:pPr>
              <w:spacing w:after="0" w:line="264" w:lineRule="auto"/>
            </w:pPr>
            <w:r/>
            <w:r>
              <w:rPr>
                <w:rFonts w:ascii="Calibri" w:hAnsi="Calibri"/>
                <w:b w:val="0"/>
                <w:sz w:val="18"/>
              </w:rPr>
              <w:t>Writing workbook records</w:t>
            </w:r>
          </w:p>
        </w:tc>
        <w:tc>
          <w:tcPr>
            <w:tcW w:type="dxa" w:w="6264"/>
            <w:vAlign w:val="center"/>
            <w:tcMar>
              <w:top w:w="80" w:type="dxa"/>
              <w:start w:w="120" w:type="dxa"/>
              <w:bottom w:w="80" w:type="dxa"/>
              <w:end w:w="120" w:type="dxa"/>
            </w:tcMar>
            <w:shd w:fill="E8EEF5"/>
          </w:tcPr>
          <w:p>
            <w:pPr>
              <w:spacing w:after="0" w:line="264" w:lineRule="auto"/>
            </w:pPr>
            <w:r/>
            <w:r>
              <w:rPr>
                <w:rFonts w:ascii="Calibri" w:hAnsi="Calibri"/>
                <w:b w:val="0"/>
                <w:sz w:val="18"/>
              </w:rPr>
              <w:t>12, 15 and 16</w:t>
            </w:r>
          </w:p>
        </w:tc>
      </w:tr>
      <w:tr>
        <w:trPr/>
        <w:tc>
          <w:tcPr>
            <w:tcW w:type="dxa" w:w="3096"/>
            <w:vAlign w:val="center"/>
            <w:tcMar>
              <w:top w:w="80" w:type="dxa"/>
              <w:start w:w="120" w:type="dxa"/>
              <w:bottom w:w="80" w:type="dxa"/>
              <w:end w:w="120" w:type="dxa"/>
            </w:tcMar>
            <w:shd w:fill="FFFFFF"/>
          </w:tcPr>
          <w:p>
            <w:pPr>
              <w:spacing w:after="0" w:line="264" w:lineRule="auto"/>
            </w:pPr>
            <w:r/>
            <w:r>
              <w:rPr>
                <w:rFonts w:ascii="Calibri" w:hAnsi="Calibri"/>
                <w:b w:val="0"/>
                <w:sz w:val="18"/>
              </w:rPr>
              <w:t>Handling an edge case</w:t>
            </w:r>
          </w:p>
        </w:tc>
        <w:tc>
          <w:tcPr>
            <w:tcW w:type="dxa" w:w="6264"/>
            <w:vAlign w:val="center"/>
            <w:tcMar>
              <w:top w:w="80" w:type="dxa"/>
              <w:start w:w="120" w:type="dxa"/>
              <w:bottom w:w="80" w:type="dxa"/>
              <w:end w:w="120" w:type="dxa"/>
            </w:tcMar>
            <w:shd w:fill="FFFFFF"/>
          </w:tcPr>
          <w:p>
            <w:pPr>
              <w:spacing w:after="0" w:line="264" w:lineRule="auto"/>
            </w:pPr>
            <w:r/>
            <w:r>
              <w:rPr>
                <w:rFonts w:ascii="Calibri" w:hAnsi="Calibri"/>
                <w:b w:val="0"/>
                <w:sz w:val="18"/>
              </w:rPr>
              <w:t>11 and 14</w:t>
            </w:r>
          </w:p>
        </w:tc>
      </w:tr>
      <w:tr>
        <w:trPr/>
        <w:tc>
          <w:tcPr>
            <w:tcW w:type="dxa" w:w="3096"/>
            <w:vAlign w:val="center"/>
            <w:tcMar>
              <w:top w:w="80" w:type="dxa"/>
              <w:start w:w="120" w:type="dxa"/>
              <w:bottom w:w="80" w:type="dxa"/>
              <w:end w:w="120" w:type="dxa"/>
            </w:tcMar>
            <w:shd w:fill="E8EEF5"/>
          </w:tcPr>
          <w:p>
            <w:pPr>
              <w:spacing w:after="0" w:line="264" w:lineRule="auto"/>
            </w:pPr>
            <w:r/>
            <w:r>
              <w:rPr>
                <w:rFonts w:ascii="Calibri" w:hAnsi="Calibri"/>
                <w:b w:val="0"/>
                <w:sz w:val="18"/>
              </w:rPr>
              <w:t>Updating the RAG</w:t>
            </w:r>
          </w:p>
        </w:tc>
        <w:tc>
          <w:tcPr>
            <w:tcW w:type="dxa" w:w="6264"/>
            <w:vAlign w:val="center"/>
            <w:tcMar>
              <w:top w:w="80" w:type="dxa"/>
              <w:start w:w="120" w:type="dxa"/>
              <w:bottom w:w="80" w:type="dxa"/>
              <w:end w:w="120" w:type="dxa"/>
            </w:tcMar>
            <w:shd w:fill="E8EEF5"/>
          </w:tcPr>
          <w:p>
            <w:pPr>
              <w:spacing w:after="0" w:line="264" w:lineRule="auto"/>
            </w:pPr>
            <w:r/>
            <w:r>
              <w:rPr>
                <w:rFonts w:ascii="Calibri" w:hAnsi="Calibri"/>
                <w:b w:val="0"/>
                <w:sz w:val="18"/>
              </w:rPr>
              <w:t>17</w:t>
            </w:r>
          </w:p>
        </w:tc>
      </w:tr>
    </w:tbl>
    <w:p>
      <w:pPr>
        <w:widowControl/>
        <w:spacing w:after="40"/>
      </w:pPr>
    </w:p>
    <w:p>
      <w:pPr>
        <w:widowControl/>
      </w:pPr>
      <w:r>
        <w:rPr>
          <w:b/>
        </w:rPr>
        <w:t>Section map:</w:t>
      </w:r>
      <w:r/>
    </w:p>
    <w:p>
      <w:pPr>
        <w:pStyle w:val="ListBullet"/>
        <w:widowControl/>
      </w:pPr>
      <w:r>
        <w:t>1. Purpose and scope</w:t>
      </w:r>
    </w:p>
    <w:p>
      <w:pPr>
        <w:pStyle w:val="ListBullet"/>
        <w:widowControl/>
      </w:pPr>
      <w:r>
        <w:t>2. Relationship to the operational prompt</w:t>
      </w:r>
    </w:p>
    <w:p>
      <w:pPr>
        <w:pStyle w:val="ListBullet"/>
        <w:widowControl/>
      </w:pPr>
      <w:r>
        <w:t>3. Authority and instruction precedence</w:t>
      </w:r>
    </w:p>
    <w:p>
      <w:pPr>
        <w:pStyle w:val="ListBullet"/>
        <w:widowControl/>
      </w:pPr>
      <w:r>
        <w:t>4. Non-negotiable research principles</w:t>
      </w:r>
    </w:p>
    <w:p>
      <w:pPr>
        <w:pStyle w:val="ListBullet"/>
        <w:widowControl/>
      </w:pPr>
      <w:r>
        <w:t>5. Identity resolution</w:t>
      </w:r>
    </w:p>
    <w:p>
      <w:pPr>
        <w:pStyle w:val="ListBullet"/>
        <w:widowControl/>
      </w:pPr>
      <w:r>
        <w:t>6. Evidence model and source hierarchy</w:t>
      </w:r>
    </w:p>
    <w:p>
      <w:pPr>
        <w:pStyle w:val="ListBullet"/>
        <w:widowControl/>
      </w:pPr>
      <w:r>
        <w:t>7. Search protocol</w:t>
      </w:r>
    </w:p>
    <w:p>
      <w:pPr>
        <w:pStyle w:val="ListBullet"/>
        <w:widowControl/>
      </w:pPr>
      <w:r>
        <w:t>8. Disclosure interpretation</w:t>
      </w:r>
    </w:p>
    <w:p>
      <w:pPr>
        <w:pStyle w:val="ListBullet"/>
        <w:widowControl/>
      </w:pPr>
      <w:r>
        <w:t>9. Controlled category definitions</w:t>
      </w:r>
    </w:p>
    <w:p>
      <w:pPr>
        <w:pStyle w:val="ListBullet"/>
        <w:widowControl/>
      </w:pPr>
      <w:r>
        <w:t>10. Independent verification</w:t>
      </w:r>
    </w:p>
    <w:p>
      <w:pPr>
        <w:pStyle w:val="ListBullet"/>
        <w:widowControl/>
      </w:pPr>
      <w:r>
        <w:t>11. Uncertainty and edge cases</w:t>
      </w:r>
    </w:p>
    <w:p>
      <w:pPr>
        <w:pStyle w:val="ListBullet"/>
        <w:widowControl/>
      </w:pPr>
      <w:r>
        <w:t>12. Research outcomes and decision logic</w:t>
      </w:r>
    </w:p>
    <w:p>
      <w:pPr>
        <w:pStyle w:val="ListBullet"/>
        <w:widowControl/>
      </w:pPr>
      <w:r>
        <w:t>13. Evidence recording standard</w:t>
      </w:r>
    </w:p>
    <w:p>
      <w:pPr>
        <w:pStyle w:val="ListBullet"/>
        <w:widowControl/>
      </w:pPr>
      <w:r>
        <w:t>14. Identity and evidence examples</w:t>
      </w:r>
    </w:p>
    <w:p>
      <w:pPr>
        <w:pStyle w:val="ListBullet"/>
        <w:widowControl/>
      </w:pPr>
      <w:r>
        <w:t>15. Workbook conventions</w:t>
      </w:r>
    </w:p>
    <w:p>
      <w:pPr>
        <w:pStyle w:val="ListBullet"/>
        <w:widowControl/>
      </w:pPr>
      <w:r>
        <w:t>16. Quality assurance and batch controls</w:t>
      </w:r>
    </w:p>
    <w:p>
      <w:pPr>
        <w:pStyle w:val="ListBullet"/>
        <w:widowControl/>
      </w:pPr>
      <w:r>
        <w:t>17. Version control and maintenance</w:t>
      </w:r>
    </w:p>
    <w:p>
      <w:pPr>
        <w:pStyle w:val="Heading1"/>
        <w:widowControl/>
      </w:pPr>
      <w:r>
        <w:t>1. Purpose and scope</w:t>
      </w:r>
    </w:p>
    <w:p>
      <w:pPr>
        <w:widowControl/>
      </w:pPr>
      <w:r>
        <w:t>This RAG governs research into whether a stage or screen performer has publicly identified with one or more of the project’s controlled disability categories. It supports the operational prompt by supplying stable definitions, decision rules, evidence standards and audit conventions.</w:t>
      </w:r>
    </w:p>
    <w:p>
      <w:pPr>
        <w:widowControl/>
      </w:pPr>
      <w:r>
        <w:t>It is not a list of disabled performers, a medical reference, a diagnostic tool or evidence that any named person is disabled. Ambiguous lists, search terms and previous classifications are inputs to a process, not conclusions.</w:t>
      </w:r>
    </w:p>
    <w:p>
      <w:pPr>
        <w:pStyle w:val="Heading2"/>
        <w:widowControl/>
      </w:pPr>
      <w:r>
        <w:t>1.1 Intended users</w:t>
      </w:r>
    </w:p>
    <w:p>
      <w:pPr>
        <w:pStyle w:val="ListBullet"/>
        <w:widowControl/>
      </w:pPr>
      <w:r>
        <w:t>Researchers completing ambiguous-list batches.</w:t>
      </w:r>
    </w:p>
    <w:p>
      <w:pPr>
        <w:pStyle w:val="ListBullet"/>
        <w:widowControl/>
      </w:pPr>
      <w:r>
        <w:t>Verifiers reviewing proposed performer-category findings.</w:t>
      </w:r>
    </w:p>
    <w:p>
      <w:pPr>
        <w:pStyle w:val="ListBullet"/>
        <w:widowControl/>
      </w:pPr>
      <w:r>
        <w:t>Data stewards updating the established master register.</w:t>
      </w:r>
    </w:p>
    <w:p>
      <w:pPr>
        <w:pStyle w:val="ListBullet"/>
        <w:widowControl/>
      </w:pPr>
      <w:r>
        <w:t>Quality-assurance reviewers reconciling evidence, decisions and workbook totals.</w:t>
      </w:r>
    </w:p>
    <w:p>
      <w:pPr>
        <w:pStyle w:val="Heading2"/>
        <w:widowControl/>
      </w:pPr>
      <w:r>
        <w:t>1.2 Out of scope</w:t>
      </w:r>
    </w:p>
    <w:p>
      <w:pPr>
        <w:pStyle w:val="ListBullet"/>
        <w:widowControl/>
      </w:pPr>
      <w:r>
        <w:t>Diagnosing or retrospectively diagnosing performers.</w:t>
      </w:r>
    </w:p>
    <w:p>
      <w:pPr>
        <w:pStyle w:val="ListBullet"/>
        <w:widowControl/>
      </w:pPr>
      <w:r>
        <w:t>Assessing whether a performer “looks”, “sounds” or “behaves” disabled.</w:t>
      </w:r>
    </w:p>
    <w:p>
      <w:pPr>
        <w:pStyle w:val="ListBullet"/>
        <w:widowControl/>
      </w:pPr>
      <w:r>
        <w:t>Determining legal disability status under a particular jurisdiction.</w:t>
      </w:r>
    </w:p>
    <w:p>
      <w:pPr>
        <w:pStyle w:val="ListBullet"/>
        <w:widowControl/>
      </w:pPr>
      <w:r>
        <w:t>Collecting private, leaked, paywalled-without-access or non-public health information.</w:t>
      </w:r>
    </w:p>
    <w:p>
      <w:pPr>
        <w:pStyle w:val="ListBullet"/>
        <w:widowControl/>
      </w:pPr>
      <w:r>
        <w:t>Classifying fictional characters, roles or portrayals.</w:t>
      </w:r>
    </w:p>
    <w:p>
      <w:pPr>
        <w:pStyle w:val="ListBullet"/>
        <w:widowControl/>
      </w:pPr>
      <w:r>
        <w:t>Treating non-disclosure as evidence that a performer is not disabled.</w:t>
      </w:r>
    </w:p>
    <w:p>
      <w:pPr>
        <w:pStyle w:val="Heading1"/>
        <w:widowControl/>
      </w:pPr>
      <w:r>
        <w:t>2. Relationship to the operational prompt</w:t>
      </w:r>
    </w:p>
    <w:p>
      <w:pPr>
        <w:widowControl/>
      </w:pPr>
      <w:r>
        <w:t>The operational prompt and this RAG have distinct responsibilities.</w:t>
      </w:r>
    </w:p>
    <w:tbl>
      <w:tblPr>
        <w:tblW w:type="dxa" w:w="9360"/>
        <w:jc w:val="center"/>
        <w:tblLayout w:type="fixed"/>
        <w:tblLook w:firstColumn="1" w:firstRow="1" w:lastColumn="0" w:lastRow="0" w:noHBand="0" w:noVBand="1" w:val="04A0"/>
      </w:tblPr>
      <w:tblGrid>
        <w:gridCol w:w="4896"/>
        <w:gridCol w:w="4896"/>
      </w:tblGrid>
      <w:tr>
        <w:trPr>
          <w:tblHeader/>
        </w:trPr>
        <w:tc>
          <w:tcPr>
            <w:tcW w:type="dxa" w:w="468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Operational prompt controls</w:t>
            </w:r>
          </w:p>
        </w:tc>
        <w:tc>
          <w:tcPr>
            <w:tcW w:type="dxa" w:w="468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This RAG controls</w:t>
            </w:r>
          </w:p>
        </w:tc>
      </w:tr>
      <w:tr>
        <w:trPr/>
        <w:tc>
          <w:tcPr>
            <w:tcW w:type="dxa" w:w="4680"/>
            <w:vAlign w:val="center"/>
            <w:tcMar>
              <w:top w:w="80" w:type="dxa"/>
              <w:start w:w="120" w:type="dxa"/>
              <w:bottom w:w="80" w:type="dxa"/>
              <w:end w:w="120" w:type="dxa"/>
            </w:tcMar>
            <w:shd w:fill="E8EEF5"/>
          </w:tcPr>
          <w:p>
            <w:pPr>
              <w:spacing w:after="0" w:line="264" w:lineRule="auto"/>
            </w:pPr>
            <w:r/>
            <w:r>
              <w:rPr>
                <w:rFonts w:ascii="Calibri" w:hAnsi="Calibri"/>
                <w:b w:val="0"/>
                <w:sz w:val="18"/>
              </w:rPr>
              <w:t>Which files to process and in what stages.</w:t>
            </w:r>
          </w:p>
        </w:tc>
        <w:tc>
          <w:tcPr>
            <w:tcW w:type="dxa" w:w="4680"/>
            <w:vAlign w:val="center"/>
            <w:tcMar>
              <w:top w:w="80" w:type="dxa"/>
              <w:start w:w="120" w:type="dxa"/>
              <w:bottom w:w="80" w:type="dxa"/>
              <w:end w:w="120" w:type="dxa"/>
            </w:tcMar>
            <w:shd w:fill="E8EEF5"/>
          </w:tcPr>
          <w:p>
            <w:pPr>
              <w:spacing w:after="0" w:line="264" w:lineRule="auto"/>
            </w:pPr>
            <w:r/>
            <w:r>
              <w:rPr>
                <w:rFonts w:ascii="Calibri" w:hAnsi="Calibri"/>
                <w:b w:val="0"/>
                <w:sz w:val="18"/>
              </w:rPr>
              <w:t>How identity and disability evidence are judged.</w:t>
            </w:r>
          </w:p>
        </w:tc>
      </w:tr>
      <w:tr>
        <w:trPr/>
        <w:tc>
          <w:tcPr>
            <w:tcW w:type="dxa" w:w="4680"/>
            <w:vAlign w:val="center"/>
            <w:tcMar>
              <w:top w:w="80" w:type="dxa"/>
              <w:start w:w="120" w:type="dxa"/>
              <w:bottom w:w="80" w:type="dxa"/>
              <w:end w:w="120" w:type="dxa"/>
            </w:tcMar>
            <w:shd w:fill="FFFFFF"/>
          </w:tcPr>
          <w:p>
            <w:pPr>
              <w:spacing w:after="0" w:line="264" w:lineRule="auto"/>
            </w:pPr>
            <w:r/>
            <w:r>
              <w:rPr>
                <w:rFonts w:ascii="Calibri" w:hAnsi="Calibri"/>
                <w:b w:val="0"/>
                <w:sz w:val="18"/>
              </w:rPr>
              <w:t>Workbook sheets, columns, ordering and final filename.</w:t>
            </w:r>
          </w:p>
        </w:tc>
        <w:tc>
          <w:tcPr>
            <w:tcW w:type="dxa" w:w="4680"/>
            <w:vAlign w:val="center"/>
            <w:tcMar>
              <w:top w:w="80" w:type="dxa"/>
              <w:start w:w="120" w:type="dxa"/>
              <w:bottom w:w="80" w:type="dxa"/>
              <w:end w:w="120" w:type="dxa"/>
            </w:tcMar>
            <w:shd w:fill="FFFFFF"/>
          </w:tcPr>
          <w:p>
            <w:pPr>
              <w:spacing w:after="0" w:line="264" w:lineRule="auto"/>
            </w:pPr>
            <w:r/>
            <w:r>
              <w:rPr>
                <w:rFonts w:ascii="Calibri" w:hAnsi="Calibri"/>
                <w:b w:val="0"/>
                <w:sz w:val="18"/>
              </w:rPr>
              <w:t>Category boundaries and terminology.</w:t>
            </w:r>
          </w:p>
        </w:tc>
      </w:tr>
      <w:tr>
        <w:trPr/>
        <w:tc>
          <w:tcPr>
            <w:tcW w:type="dxa" w:w="4680"/>
            <w:vAlign w:val="center"/>
            <w:tcMar>
              <w:top w:w="80" w:type="dxa"/>
              <w:start w:w="120" w:type="dxa"/>
              <w:bottom w:w="80" w:type="dxa"/>
              <w:end w:w="120" w:type="dxa"/>
            </w:tcMar>
            <w:shd w:fill="E8EEF5"/>
          </w:tcPr>
          <w:p>
            <w:pPr>
              <w:spacing w:after="0" w:line="264" w:lineRule="auto"/>
            </w:pPr>
            <w:r/>
            <w:r>
              <w:rPr>
                <w:rFonts w:ascii="Calibri" w:hAnsi="Calibri"/>
                <w:b w:val="0"/>
                <w:sz w:val="18"/>
              </w:rPr>
              <w:t>Deduplication against the established register.</w:t>
            </w:r>
          </w:p>
        </w:tc>
        <w:tc>
          <w:tcPr>
            <w:tcW w:type="dxa" w:w="4680"/>
            <w:vAlign w:val="center"/>
            <w:tcMar>
              <w:top w:w="80" w:type="dxa"/>
              <w:start w:w="120" w:type="dxa"/>
              <w:bottom w:w="80" w:type="dxa"/>
              <w:end w:w="120" w:type="dxa"/>
            </w:tcMar>
            <w:shd w:fill="E8EEF5"/>
          </w:tcPr>
          <w:p>
            <w:pPr>
              <w:spacing w:after="0" w:line="264" w:lineRule="auto"/>
            </w:pPr>
            <w:r/>
            <w:r>
              <w:rPr>
                <w:rFonts w:ascii="Calibri" w:hAnsi="Calibri"/>
                <w:b w:val="0"/>
                <w:sz w:val="18"/>
              </w:rPr>
              <w:t>Source qualification and disclosure interpretation.</w:t>
            </w:r>
          </w:p>
        </w:tc>
      </w:tr>
      <w:tr>
        <w:trPr/>
        <w:tc>
          <w:tcPr>
            <w:tcW w:type="dxa" w:w="4680"/>
            <w:vAlign w:val="center"/>
            <w:tcMar>
              <w:top w:w="80" w:type="dxa"/>
              <w:start w:w="120" w:type="dxa"/>
              <w:bottom w:w="80" w:type="dxa"/>
              <w:end w:w="120" w:type="dxa"/>
            </w:tcMar>
            <w:shd w:fill="FFFFFF"/>
          </w:tcPr>
          <w:p>
            <w:pPr>
              <w:spacing w:after="0" w:line="264" w:lineRule="auto"/>
            </w:pPr>
            <w:r/>
            <w:r>
              <w:rPr>
                <w:rFonts w:ascii="Calibri" w:hAnsi="Calibri"/>
                <w:b w:val="0"/>
                <w:sz w:val="18"/>
              </w:rPr>
              <w:t>Research queue, findings and evidence workflow.</w:t>
            </w:r>
          </w:p>
        </w:tc>
        <w:tc>
          <w:tcPr>
            <w:tcW w:type="dxa" w:w="4680"/>
            <w:vAlign w:val="center"/>
            <w:tcMar>
              <w:top w:w="80" w:type="dxa"/>
              <w:start w:w="120" w:type="dxa"/>
              <w:bottom w:w="80" w:type="dxa"/>
              <w:end w:w="120" w:type="dxa"/>
            </w:tcMar>
            <w:shd w:fill="FFFFFF"/>
          </w:tcPr>
          <w:p>
            <w:pPr>
              <w:spacing w:after="0" w:line="264" w:lineRule="auto"/>
            </w:pPr>
            <w:r/>
            <w:r>
              <w:rPr>
                <w:rFonts w:ascii="Calibri" w:hAnsi="Calibri"/>
                <w:b w:val="0"/>
                <w:sz w:val="18"/>
              </w:rPr>
              <w:t>Verification tests, uncertainty rules and edge cases.</w:t>
            </w:r>
          </w:p>
        </w:tc>
      </w:tr>
      <w:tr>
        <w:trPr/>
        <w:tc>
          <w:tcPr>
            <w:tcW w:type="dxa" w:w="4680"/>
            <w:vAlign w:val="center"/>
            <w:tcMar>
              <w:top w:w="80" w:type="dxa"/>
              <w:start w:w="120" w:type="dxa"/>
              <w:bottom w:w="80" w:type="dxa"/>
              <w:end w:w="120" w:type="dxa"/>
            </w:tcMar>
            <w:shd w:fill="E8EEF5"/>
          </w:tcPr>
          <w:p>
            <w:pPr>
              <w:spacing w:after="0" w:line="264" w:lineRule="auto"/>
            </w:pPr>
            <w:r/>
            <w:r>
              <w:rPr>
                <w:rFonts w:ascii="Calibri" w:hAnsi="Calibri"/>
                <w:b w:val="0"/>
                <w:sz w:val="18"/>
              </w:rPr>
              <w:t>Batch-specific output and reconciliation.</w:t>
            </w:r>
          </w:p>
        </w:tc>
        <w:tc>
          <w:tcPr>
            <w:tcW w:type="dxa" w:w="4680"/>
            <w:vAlign w:val="center"/>
            <w:tcMar>
              <w:top w:w="80" w:type="dxa"/>
              <w:start w:w="120" w:type="dxa"/>
              <w:bottom w:w="80" w:type="dxa"/>
              <w:end w:w="120" w:type="dxa"/>
            </w:tcMar>
            <w:shd w:fill="E8EEF5"/>
          </w:tcPr>
          <w:p>
            <w:pPr>
              <w:spacing w:after="0" w:line="264" w:lineRule="auto"/>
            </w:pPr>
            <w:r/>
            <w:r>
              <w:rPr>
                <w:rFonts w:ascii="Calibri" w:hAnsi="Calibri"/>
                <w:b w:val="0"/>
                <w:sz w:val="18"/>
              </w:rPr>
              <w:t>Stable quality, privacy and non-speculation controls.</w:t>
            </w:r>
          </w:p>
        </w:tc>
      </w:tr>
    </w:tbl>
    <w:p>
      <w:pPr>
        <w:widowControl/>
        <w:spacing w:after="40"/>
      </w:pPr>
    </w:p>
    <w:p>
      <w:pPr>
        <w:pStyle w:val="RAGNote"/>
        <w:keepLines/>
        <w:widowControl/>
        <w:shd w:fill="F4F6F9"/>
      </w:pPr>
      <w:r>
        <w:rPr>
          <w:b/>
          <w:color w:val="1F4D78"/>
        </w:rPr>
        <w:t xml:space="preserve">Compatibility rule: </w:t>
      </w:r>
      <w:r>
        <w:t>The prompt may repeat key safeguards for operational clarity. Where wording differs, apply the stricter rule against speculation, inference and unsupported classification. A prompt cannot lower this RAG’s evidence threshold unless the user explicitly revises the research policy.</w:t>
      </w:r>
    </w:p>
    <w:p>
      <w:pPr>
        <w:pStyle w:val="Heading1"/>
        <w:widowControl/>
      </w:pPr>
      <w:r>
        <w:t>3. Authority and instruction precedence</w:t>
      </w:r>
    </w:p>
    <w:p>
      <w:pPr>
        <w:pStyle w:val="ListNumber"/>
        <w:widowControl/>
      </w:pPr>
      <w:r>
        <w:t>The user’s explicit instructions for the current task.</w:t>
      </w:r>
    </w:p>
    <w:p>
      <w:pPr>
        <w:pStyle w:val="ListNumber"/>
        <w:widowControl/>
      </w:pPr>
      <w:r>
        <w:t>The current approved version of this RAG.</w:t>
      </w:r>
    </w:p>
    <w:p>
      <w:pPr>
        <w:pStyle w:val="ListNumber"/>
        <w:widowControl/>
      </w:pPr>
      <w:r>
        <w:t>The operational prompt named for the batch.</w:t>
      </w:r>
    </w:p>
    <w:p>
      <w:pPr>
        <w:pStyle w:val="ListNumber"/>
        <w:widowControl/>
      </w:pPr>
      <w:r>
        <w:t>The established workbook’s controlled schema and existing records.</w:t>
      </w:r>
    </w:p>
    <w:p>
      <w:pPr>
        <w:pStyle w:val="ListNumber"/>
        <w:widowControl/>
      </w:pPr>
      <w:r>
        <w:t>General research practice.</w:t>
      </w:r>
    </w:p>
    <w:p>
      <w:pPr>
        <w:widowControl/>
      </w:pPr>
      <w:r>
        <w:t>A later or more convenient source does not override a stronger evidence requirement. Existing user-supplied established classifications remain authoritative for deduplication, but their presence must not be represented as newly researched verification unless the evidence was actually checked under this RAG.</w:t>
      </w:r>
    </w:p>
    <w:p>
      <w:pPr>
        <w:pStyle w:val="Heading2"/>
        <w:widowControl/>
      </w:pPr>
      <w:r>
        <w:t>3.1 Conflict handling</w:t>
      </w:r>
    </w:p>
    <w:p>
      <w:pPr>
        <w:pStyle w:val="ListBullet"/>
        <w:widowControl/>
      </w:pPr>
      <w:r>
        <w:t>If a category name differs, preserve the controlled category name from the master workbook and record the performer’s own wording separately.</w:t>
      </w:r>
    </w:p>
    <w:p>
      <w:pPr>
        <w:pStyle w:val="ListBullet"/>
        <w:widowControl/>
      </w:pPr>
      <w:r>
        <w:t>If the prompt requests a classification that this RAG would reject, do not classify it; record the conflict for human review.</w:t>
      </w:r>
    </w:p>
    <w:p>
      <w:pPr>
        <w:pStyle w:val="ListBullet"/>
        <w:widowControl/>
      </w:pPr>
      <w:r>
        <w:t>If the RAG is missing a rule that materially affects the decision, choose the non-classifying outcome and request human guidance.</w:t>
      </w:r>
    </w:p>
    <w:p>
      <w:pPr>
        <w:pStyle w:val="ListBullet"/>
        <w:widowControl/>
      </w:pPr>
      <w:r>
        <w:t>Never resolve a conflict by weakening attribution, identity or source requirements.</w:t>
      </w:r>
    </w:p>
    <w:p>
      <w:pPr>
        <w:pStyle w:val="Heading1"/>
        <w:widowControl/>
      </w:pPr>
      <w:r>
        <w:t>4. Non-negotiable research principles</w:t>
      </w:r>
    </w:p>
    <w:p>
      <w:pPr>
        <w:pStyle w:val="ListBullet"/>
        <w:widowControl/>
      </w:pPr>
      <w:r>
        <w:t>No diagnosis. Do not diagnose, infer or retrospectively diagnose anyone.</w:t>
      </w:r>
    </w:p>
    <w:p>
      <w:pPr>
        <w:pStyle w:val="ListBullet"/>
        <w:widowControl/>
      </w:pPr>
      <w:r>
        <w:t>No embodiment inference. Appearance, movement, voice, speech, assistive technology, scars, body shape or behaviour are not evidence unless the performer publicly explains their own identity or impairment.</w:t>
      </w:r>
    </w:p>
    <w:p>
      <w:pPr>
        <w:pStyle w:val="ListBullet"/>
        <w:widowControl/>
      </w:pPr>
      <w:r>
        <w:t>No role inference. Casting, character disability, prosthetics, make-up, performance choices and narrative themes do not establish the performer’s identity.</w:t>
      </w:r>
    </w:p>
    <w:p>
      <w:pPr>
        <w:pStyle w:val="ListBullet"/>
        <w:widowControl/>
      </w:pPr>
      <w:r>
        <w:t>No third-party substitution. A colleague, relative, fan, journalist or database cannot declare a performer’s identity for them.</w:t>
      </w:r>
    </w:p>
    <w:p>
      <w:pPr>
        <w:pStyle w:val="ListBullet"/>
        <w:widowControl/>
      </w:pPr>
      <w:r>
        <w:t>No negative inference. Failure to find qualifying evidence means only that no qualifying public disclosure was located in the defined search.</w:t>
      </w:r>
    </w:p>
    <w:p>
      <w:pPr>
        <w:pStyle w:val="ListBullet"/>
        <w:widowControl/>
      </w:pPr>
      <w:r>
        <w:t>No category spread. Confirmation in one category does not automatically establish another category.</w:t>
      </w:r>
    </w:p>
    <w:p>
      <w:pPr>
        <w:pStyle w:val="ListBullet"/>
        <w:widowControl/>
      </w:pPr>
      <w:r>
        <w:t>Preserve self-description. Record the performer’s terminology accurately and respectfully, including uncertainty or self-identification.</w:t>
      </w:r>
    </w:p>
    <w:p>
      <w:pPr>
        <w:pStyle w:val="ListBullet"/>
        <w:widowControl/>
      </w:pPr>
      <w:r>
        <w:t>Research proportionately. Stop when the decision threshold is met or when further searching becomes intrusive, repetitive or unlikely to change the outcome.</w:t>
      </w:r>
    </w:p>
    <w:p>
      <w:pPr>
        <w:pStyle w:val="ListBullet"/>
        <w:widowControl/>
      </w:pPr>
      <w:r>
        <w:t>Public does not mean consequence-free. Record only what is necessary for the stated research purpose.</w:t>
      </w:r>
    </w:p>
    <w:p>
      <w:pPr>
        <w:pStyle w:val="RAGNote"/>
        <w:keepLines/>
        <w:widowControl/>
        <w:shd w:fill="F4F6F9"/>
      </w:pPr>
      <w:r>
        <w:rPr>
          <w:b/>
          <w:color w:val="1F4D78"/>
        </w:rPr>
        <w:t xml:space="preserve">Classification test: </w:t>
      </w:r>
      <w:r>
        <w:t>Could a reviewer trace the category to words publicly attributable to the performer, confirm that those words concern the performer personally, and apply the category without adding an unstated diagnosis? If not, do not verify.</w:t>
      </w:r>
    </w:p>
    <w:p>
      <w:pPr>
        <w:pStyle w:val="Heading1"/>
        <w:widowControl/>
      </w:pPr>
      <w:r>
        <w:t>5. Identity resolution</w:t>
      </w:r>
    </w:p>
    <w:p>
      <w:pPr>
        <w:pStyle w:val="Heading2"/>
        <w:widowControl/>
      </w:pPr>
      <w:r>
        <w:t>5.1 Primary identity key</w:t>
      </w:r>
    </w:p>
    <w:p>
      <w:pPr>
        <w:widowControl/>
      </w:pPr>
      <w:r>
        <w:t>IMDb Const is the principal identity key and normally has the form nm followed by digits. It is an identifier, not evidence of disability. A valid-looking Const must still be checked against the performer’s name and professional credits.</w:t>
      </w:r>
    </w:p>
    <w:p>
      <w:pPr>
        <w:pStyle w:val="Heading2"/>
        <w:widowControl/>
      </w:pPr>
      <w:r>
        <w:t>5.2 Minimum identity confirmation</w:t>
      </w:r>
    </w:p>
    <w:p>
      <w:pPr>
        <w:widowControl/>
      </w:pPr>
      <w:r>
        <w:t>Before disability research, confirm all available elements below. For a valid IMDb Const, at least the first two and one professional corroborator are required:</w:t>
      </w:r>
    </w:p>
    <w:p>
      <w:pPr>
        <w:pStyle w:val="ListBullet"/>
        <w:widowControl/>
      </w:pPr>
      <w:r>
        <w:t>The IMDb Const resolves to a name page.</w:t>
      </w:r>
    </w:p>
    <w:p>
      <w:pPr>
        <w:pStyle w:val="ListBullet"/>
        <w:widowControl/>
      </w:pPr>
      <w:r>
        <w:t>The displayed name or documented name variant matches the performer.</w:t>
      </w:r>
    </w:p>
    <w:p>
      <w:pPr>
        <w:pStyle w:val="ListBullet"/>
        <w:widowControl/>
      </w:pPr>
      <w:r>
        <w:t>At least one relevant production, role, agency profile, official website, location, profession or biographical detail aligns.</w:t>
      </w:r>
    </w:p>
    <w:p>
      <w:pPr>
        <w:pStyle w:val="ListBullet"/>
        <w:widowControl/>
      </w:pPr>
      <w:r>
        <w:t>No stronger evidence indicates that the IMDb page belongs to a namesake.</w:t>
      </w:r>
    </w:p>
    <w:p>
      <w:pPr>
        <w:pStyle w:val="Heading2"/>
        <w:widowControl/>
      </w:pPr>
      <w:r>
        <w:t>5.3 Identity statuses</w:t>
      </w:r>
    </w:p>
    <w:tbl>
      <w:tblPr>
        <w:tblW w:type="dxa" w:w="9360"/>
        <w:jc w:val="center"/>
        <w:tblLayout w:type="fixed"/>
        <w:tblLook w:firstColumn="1" w:firstRow="1" w:lastColumn="0" w:lastRow="0" w:noHBand="0" w:noVBand="1" w:val="04A0"/>
      </w:tblPr>
      <w:tblGrid>
        <w:gridCol w:w="4896"/>
        <w:gridCol w:w="4896"/>
      </w:tblGrid>
      <w:tr>
        <w:trPr>
          <w:tblHeader/>
        </w:trPr>
        <w:tc>
          <w:tcPr>
            <w:tcW w:type="dxa" w:w="3024"/>
            <w:vAlign w:val="center"/>
            <w:tcMar>
              <w:top w:w="80" w:type="dxa"/>
              <w:start w:w="120" w:type="dxa"/>
              <w:bottom w:w="80" w:type="dxa"/>
              <w:end w:w="120" w:type="dxa"/>
            </w:tcMar>
            <w:shd w:fill="2E74B5"/>
          </w:tcPr>
          <w:p>
            <w:pPr>
              <w:spacing w:after="0" w:line="264" w:lineRule="auto"/>
            </w:pPr>
            <w:r/>
            <w:r>
              <w:rPr>
                <w:rFonts w:ascii="Calibri" w:hAnsi="Calibri"/>
                <w:b/>
                <w:color w:val="FFFFFF"/>
                <w:sz w:val="18"/>
              </w:rPr>
              <w:t>Status</w:t>
            </w:r>
          </w:p>
        </w:tc>
        <w:tc>
          <w:tcPr>
            <w:tcW w:type="dxa" w:w="6336"/>
            <w:vAlign w:val="center"/>
            <w:tcMar>
              <w:top w:w="80" w:type="dxa"/>
              <w:start w:w="120" w:type="dxa"/>
              <w:bottom w:w="80" w:type="dxa"/>
              <w:end w:w="120" w:type="dxa"/>
            </w:tcMar>
            <w:shd w:fill="2E74B5"/>
          </w:tcPr>
          <w:p>
            <w:pPr>
              <w:spacing w:after="0" w:line="264" w:lineRule="auto"/>
            </w:pPr>
            <w:r/>
            <w:r>
              <w:rPr>
                <w:rFonts w:ascii="Calibri" w:hAnsi="Calibri"/>
                <w:b/>
                <w:color w:val="FFFFFF"/>
                <w:sz w:val="18"/>
              </w:rPr>
              <w:t>Use when</w:t>
            </w:r>
          </w:p>
        </w:tc>
      </w:tr>
      <w:tr>
        <w:trPr/>
        <w:tc>
          <w:tcPr>
            <w:tcW w:type="dxa" w:w="3024"/>
            <w:vAlign w:val="center"/>
            <w:tcMar>
              <w:top w:w="80" w:type="dxa"/>
              <w:start w:w="120" w:type="dxa"/>
              <w:bottom w:w="80" w:type="dxa"/>
              <w:end w:w="120" w:type="dxa"/>
            </w:tcMar>
            <w:shd w:fill="E8EEF5"/>
          </w:tcPr>
          <w:p>
            <w:pPr>
              <w:spacing w:after="0" w:line="264" w:lineRule="auto"/>
            </w:pPr>
            <w:r/>
            <w:r>
              <w:rPr>
                <w:rFonts w:ascii="Calibri" w:hAnsi="Calibri"/>
                <w:b w:val="0"/>
                <w:sz w:val="18"/>
              </w:rPr>
              <w:t>Confirmed by IMDb Const</w:t>
            </w:r>
          </w:p>
        </w:tc>
        <w:tc>
          <w:tcPr>
            <w:tcW w:type="dxa" w:w="6336"/>
            <w:vAlign w:val="center"/>
            <w:tcMar>
              <w:top w:w="80" w:type="dxa"/>
              <w:start w:w="120" w:type="dxa"/>
              <w:bottom w:w="80" w:type="dxa"/>
              <w:end w:w="120" w:type="dxa"/>
            </w:tcMar>
            <w:shd w:fill="E8EEF5"/>
          </w:tcPr>
          <w:p>
            <w:pPr>
              <w:spacing w:after="0" w:line="264" w:lineRule="auto"/>
            </w:pPr>
            <w:r/>
            <w:r>
              <w:rPr>
                <w:rFonts w:ascii="Calibri" w:hAnsi="Calibri"/>
                <w:b w:val="0"/>
                <w:sz w:val="18"/>
              </w:rPr>
              <w:t>The name page and at least one professional corroborator align.</w:t>
            </w:r>
          </w:p>
        </w:tc>
      </w:tr>
      <w:tr>
        <w:trPr/>
        <w:tc>
          <w:tcPr>
            <w:tcW w:type="dxa" w:w="3024"/>
            <w:vAlign w:val="center"/>
            <w:tcMar>
              <w:top w:w="80" w:type="dxa"/>
              <w:start w:w="120" w:type="dxa"/>
              <w:bottom w:w="80" w:type="dxa"/>
              <w:end w:w="120" w:type="dxa"/>
            </w:tcMar>
            <w:shd w:fill="FFFFFF"/>
          </w:tcPr>
          <w:p>
            <w:pPr>
              <w:spacing w:after="0" w:line="264" w:lineRule="auto"/>
            </w:pPr>
            <w:r/>
            <w:r>
              <w:rPr>
                <w:rFonts w:ascii="Calibri" w:hAnsi="Calibri"/>
                <w:b w:val="0"/>
                <w:sz w:val="18"/>
              </w:rPr>
              <w:t>Provisional identity</w:t>
            </w:r>
          </w:p>
        </w:tc>
        <w:tc>
          <w:tcPr>
            <w:tcW w:type="dxa" w:w="6336"/>
            <w:vAlign w:val="center"/>
            <w:tcMar>
              <w:top w:w="80" w:type="dxa"/>
              <w:start w:w="120" w:type="dxa"/>
              <w:bottom w:w="80" w:type="dxa"/>
              <w:end w:w="120" w:type="dxa"/>
            </w:tcMar>
            <w:shd w:fill="FFFFFF"/>
          </w:tcPr>
          <w:p>
            <w:pPr>
              <w:spacing w:after="0" w:line="264" w:lineRule="auto"/>
            </w:pPr>
            <w:r/>
            <w:r>
              <w:rPr>
                <w:rFonts w:ascii="Calibri" w:hAnsi="Calibri"/>
                <w:b w:val="0"/>
                <w:sz w:val="18"/>
              </w:rPr>
              <w:t>A likely match exists but one required corroborator is missing.</w:t>
            </w:r>
          </w:p>
        </w:tc>
      </w:tr>
      <w:tr>
        <w:trPr/>
        <w:tc>
          <w:tcPr>
            <w:tcW w:type="dxa" w:w="3024"/>
            <w:vAlign w:val="center"/>
            <w:tcMar>
              <w:top w:w="80" w:type="dxa"/>
              <w:start w:w="120" w:type="dxa"/>
              <w:bottom w:w="80" w:type="dxa"/>
              <w:end w:w="120" w:type="dxa"/>
            </w:tcMar>
            <w:shd w:fill="E8EEF5"/>
          </w:tcPr>
          <w:p>
            <w:pPr>
              <w:spacing w:after="0" w:line="264" w:lineRule="auto"/>
            </w:pPr>
            <w:r/>
            <w:r>
              <w:rPr>
                <w:rFonts w:ascii="Calibri" w:hAnsi="Calibri"/>
                <w:b w:val="0"/>
                <w:sz w:val="18"/>
              </w:rPr>
              <w:t>Identity review required</w:t>
            </w:r>
          </w:p>
        </w:tc>
        <w:tc>
          <w:tcPr>
            <w:tcW w:type="dxa" w:w="6336"/>
            <w:vAlign w:val="center"/>
            <w:tcMar>
              <w:top w:w="80" w:type="dxa"/>
              <w:start w:w="120" w:type="dxa"/>
              <w:bottom w:w="80" w:type="dxa"/>
              <w:end w:w="120" w:type="dxa"/>
            </w:tcMar>
            <w:shd w:fill="E8EEF5"/>
          </w:tcPr>
          <w:p>
            <w:pPr>
              <w:spacing w:after="0" w:line="264" w:lineRule="auto"/>
            </w:pPr>
            <w:r/>
            <w:r>
              <w:rPr>
                <w:rFonts w:ascii="Calibri" w:hAnsi="Calibri"/>
                <w:b w:val="0"/>
                <w:sz w:val="18"/>
              </w:rPr>
              <w:t>The record lacks a valid Const or contains material conflicts.</w:t>
            </w:r>
          </w:p>
        </w:tc>
      </w:tr>
      <w:tr>
        <w:trPr/>
        <w:tc>
          <w:tcPr>
            <w:tcW w:type="dxa" w:w="3024"/>
            <w:vAlign w:val="center"/>
            <w:tcMar>
              <w:top w:w="80" w:type="dxa"/>
              <w:start w:w="120" w:type="dxa"/>
              <w:bottom w:w="80" w:type="dxa"/>
              <w:end w:w="120" w:type="dxa"/>
            </w:tcMar>
            <w:shd w:fill="FFFFFF"/>
          </w:tcPr>
          <w:p>
            <w:pPr>
              <w:spacing w:after="0" w:line="264" w:lineRule="auto"/>
            </w:pPr>
            <w:r/>
            <w:r>
              <w:rPr>
                <w:rFonts w:ascii="Calibri" w:hAnsi="Calibri"/>
                <w:b w:val="0"/>
                <w:sz w:val="18"/>
              </w:rPr>
              <w:t>Namesake conflict</w:t>
            </w:r>
          </w:p>
        </w:tc>
        <w:tc>
          <w:tcPr>
            <w:tcW w:type="dxa" w:w="6336"/>
            <w:vAlign w:val="center"/>
            <w:tcMar>
              <w:top w:w="80" w:type="dxa"/>
              <w:start w:w="120" w:type="dxa"/>
              <w:bottom w:w="80" w:type="dxa"/>
              <w:end w:w="120" w:type="dxa"/>
            </w:tcMar>
            <w:shd w:fill="FFFFFF"/>
          </w:tcPr>
          <w:p>
            <w:pPr>
              <w:spacing w:after="0" w:line="264" w:lineRule="auto"/>
            </w:pPr>
            <w:r/>
            <w:r>
              <w:rPr>
                <w:rFonts w:ascii="Calibri" w:hAnsi="Calibri"/>
                <w:b w:val="0"/>
                <w:sz w:val="18"/>
              </w:rPr>
              <w:t>The same or similar name belongs to more than one plausible person.</w:t>
            </w:r>
          </w:p>
        </w:tc>
      </w:tr>
      <w:tr>
        <w:trPr/>
        <w:tc>
          <w:tcPr>
            <w:tcW w:type="dxa" w:w="3024"/>
            <w:vAlign w:val="center"/>
            <w:tcMar>
              <w:top w:w="80" w:type="dxa"/>
              <w:start w:w="120" w:type="dxa"/>
              <w:bottom w:w="80" w:type="dxa"/>
              <w:end w:w="120" w:type="dxa"/>
            </w:tcMar>
            <w:shd w:fill="E8EEF5"/>
          </w:tcPr>
          <w:p>
            <w:pPr>
              <w:spacing w:after="0" w:line="264" w:lineRule="auto"/>
            </w:pPr>
            <w:r/>
            <w:r>
              <w:rPr>
                <w:rFonts w:ascii="Calibri" w:hAnsi="Calibri"/>
                <w:b w:val="0"/>
                <w:sz w:val="18"/>
              </w:rPr>
              <w:t>Identifier conflict</w:t>
            </w:r>
          </w:p>
        </w:tc>
        <w:tc>
          <w:tcPr>
            <w:tcW w:type="dxa" w:w="6336"/>
            <w:vAlign w:val="center"/>
            <w:tcMar>
              <w:top w:w="80" w:type="dxa"/>
              <w:start w:w="120" w:type="dxa"/>
              <w:bottom w:w="80" w:type="dxa"/>
              <w:end w:w="120" w:type="dxa"/>
            </w:tcMar>
            <w:shd w:fill="E8EEF5"/>
          </w:tcPr>
          <w:p>
            <w:pPr>
              <w:spacing w:after="0" w:line="264" w:lineRule="auto"/>
            </w:pPr>
            <w:r/>
            <w:r>
              <w:rPr>
                <w:rFonts w:ascii="Calibri" w:hAnsi="Calibri"/>
                <w:b w:val="0"/>
                <w:sz w:val="18"/>
              </w:rPr>
              <w:t>The supplied Const appears to refer to another person.</w:t>
            </w:r>
          </w:p>
        </w:tc>
      </w:tr>
      <w:tr>
        <w:trPr/>
        <w:tc>
          <w:tcPr>
            <w:tcW w:type="dxa" w:w="3024"/>
            <w:vAlign w:val="center"/>
            <w:tcMar>
              <w:top w:w="80" w:type="dxa"/>
              <w:start w:w="120" w:type="dxa"/>
              <w:bottom w:w="80" w:type="dxa"/>
              <w:end w:w="120" w:type="dxa"/>
            </w:tcMar>
            <w:shd w:fill="FFFFFF"/>
          </w:tcPr>
          <w:p>
            <w:pPr>
              <w:spacing w:after="0" w:line="264" w:lineRule="auto"/>
            </w:pPr>
            <w:r/>
            <w:r>
              <w:rPr>
                <w:rFonts w:ascii="Calibri" w:hAnsi="Calibri"/>
                <w:b w:val="0"/>
                <w:sz w:val="18"/>
              </w:rPr>
              <w:t>Identity unresolved</w:t>
            </w:r>
          </w:p>
        </w:tc>
        <w:tc>
          <w:tcPr>
            <w:tcW w:type="dxa" w:w="6336"/>
            <w:vAlign w:val="center"/>
            <w:tcMar>
              <w:top w:w="80" w:type="dxa"/>
              <w:start w:w="120" w:type="dxa"/>
              <w:bottom w:w="80" w:type="dxa"/>
              <w:end w:w="120" w:type="dxa"/>
            </w:tcMar>
            <w:shd w:fill="FFFFFF"/>
          </w:tcPr>
          <w:p>
            <w:pPr>
              <w:spacing w:after="0" w:line="264" w:lineRule="auto"/>
            </w:pPr>
            <w:r/>
            <w:r>
              <w:rPr>
                <w:rFonts w:ascii="Calibri" w:hAnsi="Calibri"/>
                <w:b w:val="0"/>
                <w:sz w:val="18"/>
              </w:rPr>
              <w:t>Available evidence cannot safely determine the person.</w:t>
            </w:r>
          </w:p>
        </w:tc>
      </w:tr>
    </w:tbl>
    <w:p>
      <w:pPr>
        <w:widowControl/>
        <w:spacing w:after="40"/>
      </w:pPr>
    </w:p>
    <w:p>
      <w:pPr>
        <w:pStyle w:val="Heading2"/>
        <w:widowControl/>
      </w:pPr>
      <w:r>
        <w:t>5.4 Identity stop rules</w:t>
      </w:r>
    </w:p>
    <w:p>
      <w:pPr>
        <w:pStyle w:val="ListBullet"/>
        <w:widowControl/>
      </w:pPr>
      <w:r>
        <w:t>Do not begin disability research while identity is provisional, conflicting or unresolved.</w:t>
      </w:r>
    </w:p>
    <w:p>
      <w:pPr>
        <w:pStyle w:val="ListBullet"/>
        <w:widowControl/>
      </w:pPr>
      <w:r>
        <w:t>Do not merge people by name alone.</w:t>
      </w:r>
    </w:p>
    <w:p>
      <w:pPr>
        <w:pStyle w:val="ListBullet"/>
        <w:widowControl/>
      </w:pPr>
      <w:r>
        <w:t>Do not select the most famous IMDb result merely because it ranks first.</w:t>
      </w:r>
    </w:p>
    <w:p>
      <w:pPr>
        <w:pStyle w:val="ListBullet"/>
        <w:widowControl/>
      </w:pPr>
      <w:r>
        <w:t>Do not use birth date, photograph or Known For as a substitute identifier; use them only as corroborators.</w:t>
      </w:r>
    </w:p>
    <w:p>
      <w:pPr>
        <w:pStyle w:val="ListBullet"/>
        <w:widowControl/>
      </w:pPr>
      <w:r>
        <w:t>Record corrected identifiers as proposed corrections and require verification before merging records.</w:t>
      </w:r>
    </w:p>
    <w:p>
      <w:pPr>
        <w:pStyle w:val="Heading1"/>
        <w:widowControl/>
      </w:pPr>
      <w:r>
        <w:t>6. Evidence model and source hierarchy</w:t>
      </w:r>
    </w:p>
    <w:p>
      <w:pPr>
        <w:pStyle w:val="Heading2"/>
        <w:widowControl/>
      </w:pPr>
      <w:r>
        <w:t>6.1 Qualifying disclosure</w:t>
      </w:r>
    </w:p>
    <w:p>
      <w:pPr>
        <w:widowControl/>
      </w:pPr>
      <w:r>
        <w:t>A qualifying disclosure is a public statement attributable to the performer in which they identify with, or state that they have, an identity, condition or impairment that meets a controlled category definition. The wording may be direct or contained in an authorised biography, provided authorship or approval is clear.</w:t>
      </w:r>
    </w:p>
    <w:p>
      <w:pPr>
        <w:pStyle w:val="Heading2"/>
        <w:widowControl/>
      </w:pPr>
      <w:r>
        <w:t>6.2 Evidence hierarchy</w:t>
      </w:r>
    </w:p>
    <w:tbl>
      <w:tblPr>
        <w:tblW w:type="dxa" w:w="9360"/>
        <w:jc w:val="center"/>
        <w:tblLayout w:type="fixed"/>
        <w:tblLook w:firstColumn="1" w:firstRow="1" w:lastColumn="0" w:lastRow="0" w:noHBand="0" w:noVBand="1" w:val="04A0"/>
      </w:tblPr>
      <w:tblGrid>
        <w:gridCol w:w="3264"/>
        <w:gridCol w:w="3264"/>
        <w:gridCol w:w="3264"/>
      </w:tblGrid>
      <w:tr>
        <w:trPr>
          <w:tblHeader/>
        </w:trPr>
        <w:tc>
          <w:tcPr>
            <w:tcW w:type="dxa" w:w="792"/>
            <w:vAlign w:val="center"/>
            <w:tcMar>
              <w:top w:w="80" w:type="dxa"/>
              <w:start w:w="120" w:type="dxa"/>
              <w:bottom w:w="80" w:type="dxa"/>
              <w:end w:w="120" w:type="dxa"/>
            </w:tcMar>
            <w:shd w:fill="2E74B5"/>
          </w:tcPr>
          <w:p>
            <w:pPr>
              <w:spacing w:after="0" w:line="264" w:lineRule="auto"/>
            </w:pPr>
            <w:r/>
            <w:r>
              <w:rPr>
                <w:rFonts w:ascii="Calibri" w:hAnsi="Calibri"/>
                <w:b/>
                <w:color w:val="FFFFFF"/>
                <w:sz w:val="18"/>
              </w:rPr>
              <w:t>Tier</w:t>
            </w:r>
          </w:p>
        </w:tc>
        <w:tc>
          <w:tcPr>
            <w:tcW w:type="dxa" w:w="4248"/>
            <w:vAlign w:val="center"/>
            <w:tcMar>
              <w:top w:w="80" w:type="dxa"/>
              <w:start w:w="120" w:type="dxa"/>
              <w:bottom w:w="80" w:type="dxa"/>
              <w:end w:w="120" w:type="dxa"/>
            </w:tcMar>
            <w:shd w:fill="2E74B5"/>
          </w:tcPr>
          <w:p>
            <w:pPr>
              <w:spacing w:after="0" w:line="264" w:lineRule="auto"/>
            </w:pPr>
            <w:r/>
            <w:r>
              <w:rPr>
                <w:rFonts w:ascii="Calibri" w:hAnsi="Calibri"/>
                <w:b/>
                <w:color w:val="FFFFFF"/>
                <w:sz w:val="18"/>
              </w:rPr>
              <w:t>Evidence type</w:t>
            </w:r>
          </w:p>
        </w:tc>
        <w:tc>
          <w:tcPr>
            <w:tcW w:type="dxa" w:w="432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Normal treatment</w:t>
            </w:r>
          </w:p>
        </w:tc>
      </w:tr>
      <w:tr>
        <w:trPr/>
        <w:tc>
          <w:tcPr>
            <w:tcW w:type="dxa" w:w="792"/>
            <w:vAlign w:val="center"/>
            <w:tcMar>
              <w:top w:w="80" w:type="dxa"/>
              <w:start w:w="120" w:type="dxa"/>
              <w:bottom w:w="80" w:type="dxa"/>
              <w:end w:w="120" w:type="dxa"/>
            </w:tcMar>
            <w:shd w:fill="E8EEF5"/>
          </w:tcPr>
          <w:p>
            <w:pPr>
              <w:spacing w:after="0" w:line="264" w:lineRule="auto"/>
            </w:pPr>
            <w:r/>
            <w:r>
              <w:rPr>
                <w:rFonts w:ascii="Calibri" w:hAnsi="Calibri"/>
                <w:b w:val="0"/>
                <w:sz w:val="18"/>
              </w:rPr>
              <w:t>A</w:t>
            </w:r>
          </w:p>
        </w:tc>
        <w:tc>
          <w:tcPr>
            <w:tcW w:type="dxa" w:w="4248"/>
            <w:vAlign w:val="center"/>
            <w:tcMar>
              <w:top w:w="80" w:type="dxa"/>
              <w:start w:w="120" w:type="dxa"/>
              <w:bottom w:w="80" w:type="dxa"/>
              <w:end w:w="120" w:type="dxa"/>
            </w:tcMar>
            <w:shd w:fill="E8EEF5"/>
          </w:tcPr>
          <w:p>
            <w:pPr>
              <w:spacing w:after="0" w:line="264" w:lineRule="auto"/>
            </w:pPr>
            <w:r/>
            <w:r>
              <w:rPr>
                <w:rFonts w:ascii="Calibri" w:hAnsi="Calibri"/>
                <w:b w:val="0"/>
                <w:sz w:val="18"/>
              </w:rPr>
              <w:t>Direct recorded or written first-person statement; verified public account; performer’s official site.</w:t>
            </w:r>
          </w:p>
        </w:tc>
        <w:tc>
          <w:tcPr>
            <w:tcW w:type="dxa" w:w="4320"/>
            <w:vAlign w:val="center"/>
            <w:tcMar>
              <w:top w:w="80" w:type="dxa"/>
              <w:start w:w="120" w:type="dxa"/>
              <w:bottom w:w="80" w:type="dxa"/>
              <w:end w:w="120" w:type="dxa"/>
            </w:tcMar>
            <w:shd w:fill="E8EEF5"/>
          </w:tcPr>
          <w:p>
            <w:pPr>
              <w:spacing w:after="0" w:line="264" w:lineRule="auto"/>
            </w:pPr>
            <w:r/>
            <w:r>
              <w:rPr>
                <w:rFonts w:ascii="Calibri" w:hAnsi="Calibri"/>
                <w:b w:val="0"/>
                <w:sz w:val="18"/>
              </w:rPr>
              <w:t>Can verify a finding when identity, meaning and source integrity are clear.</w:t>
            </w:r>
          </w:p>
        </w:tc>
      </w:tr>
      <w:tr>
        <w:trPr/>
        <w:tc>
          <w:tcPr>
            <w:tcW w:type="dxa" w:w="792"/>
            <w:vAlign w:val="center"/>
            <w:tcMar>
              <w:top w:w="80" w:type="dxa"/>
              <w:start w:w="120" w:type="dxa"/>
              <w:bottom w:w="80" w:type="dxa"/>
              <w:end w:w="120" w:type="dxa"/>
            </w:tcMar>
            <w:shd w:fill="FFFFFF"/>
          </w:tcPr>
          <w:p>
            <w:pPr>
              <w:spacing w:after="0" w:line="264" w:lineRule="auto"/>
            </w:pPr>
            <w:r/>
            <w:r>
              <w:rPr>
                <w:rFonts w:ascii="Calibri" w:hAnsi="Calibri"/>
                <w:b w:val="0"/>
                <w:sz w:val="18"/>
              </w:rPr>
              <w:t>B</w:t>
            </w:r>
          </w:p>
        </w:tc>
        <w:tc>
          <w:tcPr>
            <w:tcW w:type="dxa" w:w="4248"/>
            <w:vAlign w:val="center"/>
            <w:tcMar>
              <w:top w:w="80" w:type="dxa"/>
              <w:start w:w="120" w:type="dxa"/>
              <w:bottom w:w="80" w:type="dxa"/>
              <w:end w:w="120" w:type="dxa"/>
            </w:tcMar>
            <w:shd w:fill="FFFFFF"/>
          </w:tcPr>
          <w:p>
            <w:pPr>
              <w:spacing w:after="0" w:line="264" w:lineRule="auto"/>
            </w:pPr>
            <w:r/>
            <w:r>
              <w:rPr>
                <w:rFonts w:ascii="Calibri" w:hAnsi="Calibri"/>
                <w:b w:val="0"/>
                <w:sz w:val="18"/>
              </w:rPr>
              <w:t>Published interview, podcast, broadcast or reputable article reproducing a clear attributable quotation.</w:t>
            </w:r>
          </w:p>
        </w:tc>
        <w:tc>
          <w:tcPr>
            <w:tcW w:type="dxa" w:w="4320"/>
            <w:vAlign w:val="center"/>
            <w:tcMar>
              <w:top w:w="80" w:type="dxa"/>
              <w:start w:w="120" w:type="dxa"/>
              <w:bottom w:w="80" w:type="dxa"/>
              <w:end w:w="120" w:type="dxa"/>
            </w:tcMar>
            <w:shd w:fill="FFFFFF"/>
          </w:tcPr>
          <w:p>
            <w:pPr>
              <w:spacing w:after="0" w:line="264" w:lineRule="auto"/>
            </w:pPr>
            <w:r/>
            <w:r>
              <w:rPr>
                <w:rFonts w:ascii="Calibri" w:hAnsi="Calibri"/>
                <w:b w:val="0"/>
                <w:sz w:val="18"/>
              </w:rPr>
              <w:t>Can verify; seek the original where practical.</w:t>
            </w:r>
          </w:p>
        </w:tc>
      </w:tr>
      <w:tr>
        <w:trPr/>
        <w:tc>
          <w:tcPr>
            <w:tcW w:type="dxa" w:w="792"/>
            <w:vAlign w:val="center"/>
            <w:tcMar>
              <w:top w:w="80" w:type="dxa"/>
              <w:start w:w="120" w:type="dxa"/>
              <w:bottom w:w="80" w:type="dxa"/>
              <w:end w:w="120" w:type="dxa"/>
            </w:tcMar>
            <w:shd w:fill="E8EEF5"/>
          </w:tcPr>
          <w:p>
            <w:pPr>
              <w:spacing w:after="0" w:line="264" w:lineRule="auto"/>
            </w:pPr>
            <w:r/>
            <w:r>
              <w:rPr>
                <w:rFonts w:ascii="Calibri" w:hAnsi="Calibri"/>
                <w:b w:val="0"/>
                <w:sz w:val="18"/>
              </w:rPr>
              <w:t>C</w:t>
            </w:r>
          </w:p>
        </w:tc>
        <w:tc>
          <w:tcPr>
            <w:tcW w:type="dxa" w:w="4248"/>
            <w:vAlign w:val="center"/>
            <w:tcMar>
              <w:top w:w="80" w:type="dxa"/>
              <w:start w:w="120" w:type="dxa"/>
              <w:bottom w:w="80" w:type="dxa"/>
              <w:end w:w="120" w:type="dxa"/>
            </w:tcMar>
            <w:shd w:fill="E8EEF5"/>
          </w:tcPr>
          <w:p>
            <w:pPr>
              <w:spacing w:after="0" w:line="264" w:lineRule="auto"/>
            </w:pPr>
            <w:r/>
            <w:r>
              <w:rPr>
                <w:rFonts w:ascii="Calibri" w:hAnsi="Calibri"/>
                <w:b w:val="0"/>
                <w:sz w:val="18"/>
              </w:rPr>
              <w:t>Authorised biography, agency biography clearly written with performer approval, or official production biography.</w:t>
            </w:r>
          </w:p>
        </w:tc>
        <w:tc>
          <w:tcPr>
            <w:tcW w:type="dxa" w:w="4320"/>
            <w:vAlign w:val="center"/>
            <w:tcMar>
              <w:top w:w="80" w:type="dxa"/>
              <w:start w:w="120" w:type="dxa"/>
              <w:bottom w:w="80" w:type="dxa"/>
              <w:end w:w="120" w:type="dxa"/>
            </w:tcMar>
            <w:shd w:fill="E8EEF5"/>
          </w:tcPr>
          <w:p>
            <w:pPr>
              <w:spacing w:after="0" w:line="264" w:lineRule="auto"/>
            </w:pPr>
            <w:r/>
            <w:r>
              <w:rPr>
                <w:rFonts w:ascii="Calibri" w:hAnsi="Calibri"/>
                <w:b w:val="0"/>
                <w:sz w:val="18"/>
              </w:rPr>
              <w:t>Can verify identity-level wording when authorisation is evident; use caution with paraphrased diagnoses.</w:t>
            </w:r>
          </w:p>
        </w:tc>
      </w:tr>
      <w:tr>
        <w:trPr/>
        <w:tc>
          <w:tcPr>
            <w:tcW w:type="dxa" w:w="792"/>
            <w:vAlign w:val="center"/>
            <w:tcMar>
              <w:top w:w="80" w:type="dxa"/>
              <w:start w:w="120" w:type="dxa"/>
              <w:bottom w:w="80" w:type="dxa"/>
              <w:end w:w="120" w:type="dxa"/>
            </w:tcMar>
            <w:shd w:fill="FFFFFF"/>
          </w:tcPr>
          <w:p>
            <w:pPr>
              <w:spacing w:after="0" w:line="264" w:lineRule="auto"/>
            </w:pPr>
            <w:r/>
            <w:r>
              <w:rPr>
                <w:rFonts w:ascii="Calibri" w:hAnsi="Calibri"/>
                <w:b w:val="0"/>
                <w:sz w:val="18"/>
              </w:rPr>
              <w:t>D</w:t>
            </w:r>
          </w:p>
        </w:tc>
        <w:tc>
          <w:tcPr>
            <w:tcW w:type="dxa" w:w="4248"/>
            <w:vAlign w:val="center"/>
            <w:tcMar>
              <w:top w:w="80" w:type="dxa"/>
              <w:start w:w="120" w:type="dxa"/>
              <w:bottom w:w="80" w:type="dxa"/>
              <w:end w:w="120" w:type="dxa"/>
            </w:tcMar>
            <w:shd w:fill="FFFFFF"/>
          </w:tcPr>
          <w:p>
            <w:pPr>
              <w:spacing w:after="0" w:line="264" w:lineRule="auto"/>
            </w:pPr>
            <w:r/>
            <w:r>
              <w:rPr>
                <w:rFonts w:ascii="Calibri" w:hAnsi="Calibri"/>
                <w:b w:val="0"/>
                <w:sz w:val="18"/>
              </w:rPr>
              <w:t>Reliable secondary reporting without a direct quotation.</w:t>
            </w:r>
          </w:p>
        </w:tc>
        <w:tc>
          <w:tcPr>
            <w:tcW w:type="dxa" w:w="4320"/>
            <w:vAlign w:val="center"/>
            <w:tcMar>
              <w:top w:w="80" w:type="dxa"/>
              <w:start w:w="120" w:type="dxa"/>
              <w:bottom w:w="80" w:type="dxa"/>
              <w:end w:w="120" w:type="dxa"/>
            </w:tcMar>
            <w:shd w:fill="FFFFFF"/>
          </w:tcPr>
          <w:p>
            <w:pPr>
              <w:spacing w:after="0" w:line="264" w:lineRule="auto"/>
            </w:pPr>
            <w:r/>
            <w:r>
              <w:rPr>
                <w:rFonts w:ascii="Calibri" w:hAnsi="Calibri"/>
                <w:b w:val="0"/>
                <w:sz w:val="18"/>
              </w:rPr>
              <w:t>Research lead only; normally insufficient for self-disclosure classification.</w:t>
            </w:r>
          </w:p>
        </w:tc>
      </w:tr>
      <w:tr>
        <w:trPr/>
        <w:tc>
          <w:tcPr>
            <w:tcW w:type="dxa" w:w="792"/>
            <w:vAlign w:val="center"/>
            <w:tcMar>
              <w:top w:w="80" w:type="dxa"/>
              <w:start w:w="120" w:type="dxa"/>
              <w:bottom w:w="80" w:type="dxa"/>
              <w:end w:w="120" w:type="dxa"/>
            </w:tcMar>
            <w:shd w:fill="E8EEF5"/>
          </w:tcPr>
          <w:p>
            <w:pPr>
              <w:spacing w:after="0" w:line="264" w:lineRule="auto"/>
            </w:pPr>
            <w:r/>
            <w:r>
              <w:rPr>
                <w:rFonts w:ascii="Calibri" w:hAnsi="Calibri"/>
                <w:b w:val="0"/>
                <w:sz w:val="18"/>
              </w:rPr>
              <w:t>E</w:t>
            </w:r>
          </w:p>
        </w:tc>
        <w:tc>
          <w:tcPr>
            <w:tcW w:type="dxa" w:w="4248"/>
            <w:vAlign w:val="center"/>
            <w:tcMar>
              <w:top w:w="80" w:type="dxa"/>
              <w:start w:w="120" w:type="dxa"/>
              <w:bottom w:w="80" w:type="dxa"/>
              <w:end w:w="120" w:type="dxa"/>
            </w:tcMar>
            <w:shd w:fill="E8EEF5"/>
          </w:tcPr>
          <w:p>
            <w:pPr>
              <w:spacing w:after="0" w:line="264" w:lineRule="auto"/>
            </w:pPr>
            <w:r/>
            <w:r>
              <w:rPr>
                <w:rFonts w:ascii="Calibri" w:hAnsi="Calibri"/>
                <w:b w:val="0"/>
                <w:sz w:val="18"/>
              </w:rPr>
              <w:t>Databases, fan pages, snippets, social reposts, casting notices, images or unsourced claims.</w:t>
            </w:r>
          </w:p>
        </w:tc>
        <w:tc>
          <w:tcPr>
            <w:tcW w:type="dxa" w:w="4320"/>
            <w:vAlign w:val="center"/>
            <w:tcMar>
              <w:top w:w="80" w:type="dxa"/>
              <w:start w:w="120" w:type="dxa"/>
              <w:bottom w:w="80" w:type="dxa"/>
              <w:end w:w="120" w:type="dxa"/>
            </w:tcMar>
            <w:shd w:fill="E8EEF5"/>
          </w:tcPr>
          <w:p>
            <w:pPr>
              <w:spacing w:after="0" w:line="264" w:lineRule="auto"/>
            </w:pPr>
            <w:r/>
            <w:r>
              <w:rPr>
                <w:rFonts w:ascii="Calibri" w:hAnsi="Calibri"/>
                <w:b w:val="0"/>
                <w:sz w:val="18"/>
              </w:rPr>
              <w:t>Never qualifying; may only locate a better source.</w:t>
            </w:r>
          </w:p>
        </w:tc>
      </w:tr>
    </w:tbl>
    <w:p>
      <w:pPr>
        <w:widowControl/>
        <w:spacing w:after="40"/>
      </w:pPr>
    </w:p>
    <w:p>
      <w:pPr>
        <w:pStyle w:val="Heading2"/>
        <w:widowControl/>
      </w:pPr>
      <w:r>
        <w:t>6.3 One-source sufficiency</w:t>
      </w:r>
    </w:p>
    <w:p>
      <w:pPr>
        <w:widowControl/>
      </w:pPr>
      <w:r>
        <w:t>One strong Tier A or Tier B source is sufficient. Do not demand a second source simply to create the appearance of corroboration. Additional evidence is useful when identity, wording, source authenticity or category interpretation remains uncertain.</w:t>
      </w:r>
    </w:p>
    <w:p>
      <w:pPr>
        <w:pStyle w:val="Heading2"/>
        <w:widowControl/>
      </w:pPr>
      <w:r>
        <w:t>6.4 Source integrity checks</w:t>
      </w:r>
    </w:p>
    <w:p>
      <w:pPr>
        <w:pStyle w:val="ListBullet"/>
        <w:widowControl/>
      </w:pPr>
      <w:r>
        <w:t>Open the underlying source; never classify from the search snippet.</w:t>
      </w:r>
    </w:p>
    <w:p>
      <w:pPr>
        <w:pStyle w:val="ListBullet"/>
        <w:widowControl/>
      </w:pPr>
      <w:r>
        <w:t>Confirm the URL, title, publisher or platform and publication date where available.</w:t>
      </w:r>
    </w:p>
    <w:p>
      <w:pPr>
        <w:pStyle w:val="ListBullet"/>
        <w:widowControl/>
      </w:pPr>
      <w:r>
        <w:t>Confirm the statement is visible, audible or accurately transcribed in the source.</w:t>
      </w:r>
    </w:p>
    <w:p>
      <w:pPr>
        <w:pStyle w:val="ListBullet"/>
        <w:widowControl/>
      </w:pPr>
      <w:r>
        <w:t>Distinguish the performer’s words from an interviewer’s introduction or editorial caption.</w:t>
      </w:r>
    </w:p>
    <w:p>
      <w:pPr>
        <w:pStyle w:val="ListBullet"/>
        <w:widowControl/>
      </w:pPr>
      <w:r>
        <w:t>Confirm the source concerns the correct performer.</w:t>
      </w:r>
    </w:p>
    <w:p>
      <w:pPr>
        <w:pStyle w:val="ListBullet"/>
        <w:widowControl/>
      </w:pPr>
      <w:r>
        <w:t>Record whether the original remains available.</w:t>
      </w:r>
    </w:p>
    <w:p>
      <w:pPr>
        <w:pStyle w:val="ListBullet"/>
        <w:widowControl/>
      </w:pPr>
      <w:r>
        <w:t>Use archived copies only when lawful and when provenance is clear; label them as archived.</w:t>
      </w:r>
    </w:p>
    <w:p>
      <w:pPr>
        <w:pStyle w:val="ListBullet"/>
        <w:widowControl/>
      </w:pPr>
      <w:r>
        <w:t>Do not bypass authentication, privacy controls or access restrictions.</w:t>
      </w:r>
    </w:p>
    <w:p>
      <w:pPr>
        <w:pStyle w:val="Heading1"/>
        <w:widowControl/>
      </w:pPr>
      <w:r>
        <w:t>7. Search protocol</w:t>
      </w:r>
    </w:p>
    <w:p>
      <w:pPr>
        <w:pStyle w:val="Heading2"/>
        <w:widowControl/>
      </w:pPr>
      <w:r>
        <w:t>7.1 Search sequence</w:t>
      </w:r>
    </w:p>
    <w:p>
      <w:pPr>
        <w:pStyle w:val="ListNumber"/>
        <w:widowControl/>
      </w:pPr>
      <w:r>
        <w:t>Resolve identity and record IMDb Const, name variants and a relevant credit.</w:t>
      </w:r>
    </w:p>
    <w:p>
      <w:pPr>
        <w:pStyle w:val="ListNumber"/>
        <w:widowControl/>
      </w:pPr>
      <w:r>
        <w:t>Search the exact performer name with general disclosure terms such as disabled, disability, interview, “in my own words”, access, impairment and lived experience.</w:t>
      </w:r>
    </w:p>
    <w:p>
      <w:pPr>
        <w:pStyle w:val="ListNumber"/>
        <w:widowControl/>
      </w:pPr>
      <w:r>
        <w:t>Search the exact name with the ambiguous list’s suggested category and its controlled synonyms.</w:t>
      </w:r>
    </w:p>
    <w:p>
      <w:pPr>
        <w:pStyle w:val="ListNumber"/>
        <w:widowControl/>
      </w:pPr>
      <w:r>
        <w:t>Search credible first-person formats: official site, published interview, podcast, broadcast and verified public account.</w:t>
      </w:r>
    </w:p>
    <w:p>
      <w:pPr>
        <w:pStyle w:val="ListNumber"/>
        <w:widowControl/>
      </w:pPr>
      <w:r>
        <w:t>When credible evidence reveals another controlled category, follow that lead proportionately.</w:t>
      </w:r>
    </w:p>
    <w:p>
      <w:pPr>
        <w:pStyle w:val="ListNumber"/>
        <w:widowControl/>
      </w:pPr>
      <w:r>
        <w:t>Open and assess every potentially qualifying source.</w:t>
      </w:r>
    </w:p>
    <w:p>
      <w:pPr>
        <w:pStyle w:val="ListNumber"/>
        <w:widowControl/>
      </w:pPr>
      <w:r>
        <w:t>Stop when the evidence threshold is met, identity becomes uncertain, or the defined search is exhausted.</w:t>
      </w:r>
    </w:p>
    <w:p>
      <w:pPr>
        <w:pStyle w:val="Heading2"/>
        <w:widowControl/>
      </w:pPr>
      <w:r>
        <w:t>7.2 Search construction</w:t>
      </w:r>
    </w:p>
    <w:p>
      <w:pPr>
        <w:pStyle w:val="ListBullet"/>
        <w:widowControl/>
      </w:pPr>
      <w:r>
        <w:t>Use quotation marks around uncommon full names where helpful.</w:t>
      </w:r>
    </w:p>
    <w:p>
      <w:pPr>
        <w:pStyle w:val="ListBullet"/>
        <w:widowControl/>
      </w:pPr>
      <w:r>
        <w:t>Add a known production, profession, location or agency when names are common.</w:t>
      </w:r>
    </w:p>
    <w:p>
      <w:pPr>
        <w:pStyle w:val="ListBullet"/>
        <w:widowControl/>
      </w:pPr>
      <w:r>
        <w:t>Search name variants, stage names and previous names only when supported by identity evidence.</w:t>
      </w:r>
    </w:p>
    <w:p>
      <w:pPr>
        <w:pStyle w:val="ListBullet"/>
        <w:widowControl/>
      </w:pPr>
      <w:r>
        <w:t>Use both identity-first and person-first terminology without assuming the performer’s preference.</w:t>
      </w:r>
    </w:p>
    <w:p>
      <w:pPr>
        <w:pStyle w:val="ListBullet"/>
        <w:widowControl/>
      </w:pPr>
      <w:r>
        <w:t>Historical or derogatory terms may be used privately as discovery terms where necessary, but should not determine classification or be reproduced gratuitously.</w:t>
      </w:r>
    </w:p>
    <w:p>
      <w:pPr>
        <w:pStyle w:val="ListBullet"/>
        <w:widowControl/>
      </w:pPr>
      <w:r>
        <w:t>Do not use broad medical speculation queries such as “what is wrong with…” or image-led searches.</w:t>
      </w:r>
    </w:p>
    <w:p>
      <w:pPr>
        <w:pStyle w:val="Heading2"/>
        <w:widowControl/>
      </w:pPr>
      <w:r>
        <w:t>7.3 Defined-search completion</w:t>
      </w:r>
    </w:p>
    <w:p>
      <w:pPr>
        <w:widowControl/>
      </w:pPr>
      <w:r>
        <w:t>A reasonable search normally includes the performer’s name with the suggested category, at least one general disability/self-disclosure query, the performer’s official or agency profile where available, and relevant interview/podcast results. The research log must state what was searched and why the search stopped.</w:t>
      </w:r>
    </w:p>
    <w:p>
      <w:pPr>
        <w:pStyle w:val="Heading1"/>
        <w:widowControl/>
      </w:pPr>
      <w:r>
        <w:t>8. Disclosure interpretation</w:t>
      </w:r>
    </w:p>
    <w:p>
      <w:pPr>
        <w:pStyle w:val="Heading2"/>
        <w:widowControl/>
      </w:pPr>
      <w:r>
        <w:t>8.1 Direct, historical and current wording</w:t>
      </w:r>
    </w:p>
    <w:p>
      <w:pPr>
        <w:widowControl/>
      </w:pPr>
      <w:r>
        <w:t>A disclosure may describe a current identity, a lifelong condition, an acquired impairment or a past period of disability. Record temporal wording faithfully. Do not convert “I used a wheelchair during recovery” into a continuing identity as a wheelchair user without clear wording.</w:t>
      </w:r>
    </w:p>
    <w:p>
      <w:pPr>
        <w:pStyle w:val="Heading2"/>
        <w:widowControl/>
      </w:pPr>
      <w:r>
        <w:t>8.2 Identity, diagnosis and lived experience</w:t>
      </w:r>
    </w:p>
    <w:p>
      <w:pPr>
        <w:pStyle w:val="ListBullet"/>
        <w:widowControl/>
      </w:pPr>
      <w:r>
        <w:t>Identity statement: “I am autistic” may support Neurodivergent.</w:t>
      </w:r>
    </w:p>
    <w:p>
      <w:pPr>
        <w:pStyle w:val="ListBullet"/>
        <w:widowControl/>
      </w:pPr>
      <w:r>
        <w:t>Condition statement: “I have cerebral palsy” may support Cerebral palsy or brain injury.</w:t>
      </w:r>
    </w:p>
    <w:p>
      <w:pPr>
        <w:pStyle w:val="ListBullet"/>
        <w:widowControl/>
      </w:pPr>
      <w:r>
        <w:t>Functional statement: “I am a part-time wheelchair user” may support Wheelchair user.</w:t>
      </w:r>
    </w:p>
    <w:p>
      <w:pPr>
        <w:pStyle w:val="ListBullet"/>
        <w:widowControl/>
      </w:pPr>
      <w:r>
        <w:t>Experience without identity: “I struggled to read at school” does not establish dyslexia.</w:t>
      </w:r>
    </w:p>
    <w:p>
      <w:pPr>
        <w:pStyle w:val="ListBullet"/>
        <w:widowControl/>
      </w:pPr>
      <w:r>
        <w:t>Advocacy without identity: campaigning for disability rights does not establish personal disability.</w:t>
      </w:r>
    </w:p>
    <w:p>
      <w:pPr>
        <w:pStyle w:val="ListBullet"/>
        <w:widowControl/>
      </w:pPr>
      <w:r>
        <w:t>Association without identity: membership of an inclusive cast or company does not establish disability unless the source explicitly defines membership as such and identifies the performer.</w:t>
      </w:r>
    </w:p>
    <w:p>
      <w:pPr>
        <w:pStyle w:val="Heading2"/>
        <w:widowControl/>
      </w:pPr>
      <w:r>
        <w:t>8.3 Self-diagnosis and self-identification</w:t>
      </w:r>
    </w:p>
    <w:p>
      <w:pPr>
        <w:widowControl/>
      </w:pPr>
      <w:r>
        <w:t>A performer’s explicit self-identification can be recorded when it is clear, public and relevant, even if they state that they are self-diagnosed. Record the exact status in Performer terminology and Research summary. Do not present self-diagnosis as a clinical diagnosis. Tentative wording such as “I think I might be” remains ambiguous unless the performer later adopts an unqualified identity statement.</w:t>
      </w:r>
    </w:p>
    <w:p>
      <w:pPr>
        <w:pStyle w:val="Heading2"/>
        <w:widowControl/>
      </w:pPr>
      <w:r>
        <w:t>8.4 Authorised biographies</w:t>
      </w:r>
    </w:p>
    <w:p>
      <w:pPr>
        <w:widowControl/>
      </w:pPr>
      <w:r>
        <w:t>An authorised biography may qualify when it is published by the performer, their official representative or an organisation presenting an approved biography. It should describe the performer, not merely label a roster or event. If authorisation is uncertain or the wording appears copied from elsewhere, treat it as potentially qualifying and seek a direct source.</w:t>
      </w:r>
    </w:p>
    <w:p>
      <w:pPr>
        <w:pStyle w:val="Heading1"/>
        <w:widowControl/>
      </w:pPr>
      <w:r>
        <w:t>9. Controlled category definitions</w:t>
      </w:r>
    </w:p>
    <w:p>
      <w:pPr>
        <w:widowControl/>
      </w:pPr>
      <w:r>
        <w:t>Use only the eleven controlled categories. Record the controlled category separately from Performer terminology. A category may be assigned only when the evidence satisfies its individual rule.</w:t>
      </w:r>
    </w:p>
    <w:p>
      <w:pPr>
        <w:pStyle w:val="Heading2"/>
        <w:widowControl/>
      </w:pPr>
      <w:r>
        <w:t>9.1 Down syndrome</w:t>
      </w:r>
    </w:p>
    <w:p>
      <w:pPr>
        <w:widowControl/>
      </w:pPr>
      <w:r>
        <w:rPr>
          <w:b/>
        </w:rPr>
        <w:t>Confirm when:</w:t>
      </w:r>
      <w:r>
        <w:t xml:space="preserve"> Confirm when the performer states that they have Down syndrome or clearly identifies as a person with Down syndrome.</w:t>
      </w:r>
    </w:p>
    <w:p>
      <w:pPr>
        <w:widowControl/>
      </w:pPr>
      <w:r>
        <w:rPr>
          <w:b/>
        </w:rPr>
        <w:t>Do not confirm when:</w:t>
      </w:r>
      <w:r>
        <w:t xml:space="preserve"> Do not infer from appearance, learning-disability casting, family comment or a third-party profile without performer authorisation.</w:t>
      </w:r>
    </w:p>
    <w:p>
      <w:pPr>
        <w:widowControl/>
      </w:pPr>
      <w:r>
        <w:rPr>
          <w:b/>
        </w:rPr>
        <w:t>Record:</w:t>
      </w:r>
      <w:r>
        <w:t xml:space="preserve"> Record “Down syndrome” unless the performer uses a materially different preferred expression.</w:t>
      </w:r>
    </w:p>
    <w:p>
      <w:pPr>
        <w:pStyle w:val="Heading2"/>
        <w:widowControl/>
      </w:pPr>
      <w:r>
        <w:t>9.2 Deaf, deaf or hard of hearing</w:t>
      </w:r>
    </w:p>
    <w:p>
      <w:pPr>
        <w:widowControl/>
      </w:pPr>
      <w:r>
        <w:rPr>
          <w:b/>
        </w:rPr>
        <w:t>Confirm when:</w:t>
      </w:r>
      <w:r>
        <w:t xml:space="preserve"> Confirm when the performer identifies as Deaf, deaf, hard of hearing, hearing impaired or otherwise describes a qualifying hearing identity or impairment. Use Deaf where the performer identifies as Deaf or clearly describes sign language as their language/community identity.</w:t>
      </w:r>
    </w:p>
    <w:p>
      <w:pPr>
        <w:widowControl/>
      </w:pPr>
      <w:r>
        <w:rPr>
          <w:b/>
        </w:rPr>
        <w:t>Do not confirm when:</w:t>
      </w:r>
      <w:r>
        <w:t xml:space="preserve"> Do not equate all hearing loss with Deaf identity. Do not infer from sign-language performance, a Deaf role, caption use or an interpreter appearing nearby.</w:t>
      </w:r>
    </w:p>
    <w:p>
      <w:pPr>
        <w:widowControl/>
      </w:pPr>
      <w:r>
        <w:rPr>
          <w:b/>
        </w:rPr>
        <w:t>Record:</w:t>
      </w:r>
      <w:r>
        <w:t xml:space="preserve"> Preserve capitalisation and the performer’s own term in Performer terminology.</w:t>
      </w:r>
    </w:p>
    <w:p>
      <w:pPr>
        <w:pStyle w:val="Heading2"/>
        <w:widowControl/>
      </w:pPr>
      <w:r>
        <w:t>9.3 Wheelchair user</w:t>
      </w:r>
    </w:p>
    <w:p>
      <w:pPr>
        <w:widowControl/>
      </w:pPr>
      <w:r>
        <w:rPr>
          <w:b/>
        </w:rPr>
        <w:t>Confirm when:</w:t>
      </w:r>
      <w:r>
        <w:t xml:space="preserve"> Confirm when the performer identifies as a wheelchair user, including full-time, part-time, ambulatory or occasional use.</w:t>
      </w:r>
    </w:p>
    <w:p>
      <w:pPr>
        <w:widowControl/>
      </w:pPr>
      <w:r>
        <w:rPr>
          <w:b/>
        </w:rPr>
        <w:t>Do not confirm when:</w:t>
      </w:r>
      <w:r>
        <w:t xml:space="preserve"> Do not infer from photographs, a role, wheelchair sport, temporary on-set use or a past injury unless the performer explicitly describes their wheelchair use.</w:t>
      </w:r>
    </w:p>
    <w:p>
      <w:pPr>
        <w:widowControl/>
      </w:pPr>
      <w:r>
        <w:rPr>
          <w:b/>
        </w:rPr>
        <w:t>Record:</w:t>
      </w:r>
      <w:r>
        <w:t xml:space="preserve"> Record qualifiers such as ambulatory, part-time or occasional.</w:t>
      </w:r>
    </w:p>
    <w:p>
      <w:pPr>
        <w:pStyle w:val="Heading2"/>
        <w:widowControl/>
      </w:pPr>
      <w:r>
        <w:t>9.4 Physical disability</w:t>
      </w:r>
    </w:p>
    <w:p>
      <w:pPr>
        <w:widowControl/>
      </w:pPr>
      <w:r>
        <w:rPr>
          <w:b/>
        </w:rPr>
        <w:t>Confirm when:</w:t>
      </w:r>
      <w:r>
        <w:t xml:space="preserve"> Confirm when the performer explicitly identifies as physically disabled or describes a physical impairment that clearly falls within the project definition and is not merely transient.</w:t>
      </w:r>
    </w:p>
    <w:p>
      <w:pPr>
        <w:widowControl/>
      </w:pPr>
      <w:r>
        <w:rPr>
          <w:b/>
        </w:rPr>
        <w:t>Do not confirm when:</w:t>
      </w:r>
      <w:r>
        <w:t xml:space="preserve"> Do not automatically add because another apparent category is confirmed. Do not treat pain, surgery, illness or injury as physical disability without identity or clear enduring impairment wording.</w:t>
      </w:r>
    </w:p>
    <w:p>
      <w:pPr>
        <w:widowControl/>
      </w:pPr>
      <w:r>
        <w:rPr>
          <w:b/>
        </w:rPr>
        <w:t>Record:</w:t>
      </w:r>
      <w:r>
        <w:t xml:space="preserve"> Record the specific impairment wording separately; retain Physical disability only when independently supported.</w:t>
      </w:r>
    </w:p>
    <w:p>
      <w:pPr>
        <w:pStyle w:val="Heading2"/>
        <w:widowControl/>
      </w:pPr>
      <w:r>
        <w:t>9.5 Facial difference</w:t>
      </w:r>
    </w:p>
    <w:p>
      <w:pPr>
        <w:widowControl/>
      </w:pPr>
      <w:r>
        <w:rPr>
          <w:b/>
        </w:rPr>
        <w:t>Confirm when:</w:t>
      </w:r>
      <w:r>
        <w:t xml:space="preserve"> Confirm when the performer identifies as having a facial difference, disfigurement or equivalent condition affecting facial appearance.</w:t>
      </w:r>
    </w:p>
    <w:p>
      <w:pPr>
        <w:widowControl/>
      </w:pPr>
      <w:r>
        <w:rPr>
          <w:b/>
        </w:rPr>
        <w:t>Do not confirm when:</w:t>
      </w:r>
      <w:r>
        <w:t xml:space="preserve"> Do not infer from photographs, scarring, make-up, a role or journalistic description alone.</w:t>
      </w:r>
    </w:p>
    <w:p>
      <w:pPr>
        <w:widowControl/>
      </w:pPr>
      <w:r>
        <w:rPr>
          <w:b/>
        </w:rPr>
        <w:t>Record:</w:t>
      </w:r>
      <w:r>
        <w:t xml:space="preserve"> Preserve the performer’s preferred terminology; avoid sensational or evaluative language.</w:t>
      </w:r>
    </w:p>
    <w:p>
      <w:pPr>
        <w:pStyle w:val="Heading2"/>
        <w:widowControl/>
      </w:pPr>
      <w:r>
        <w:t>9.6 Limb difference</w:t>
      </w:r>
    </w:p>
    <w:p>
      <w:pPr>
        <w:widowControl/>
      </w:pPr>
      <w:r>
        <w:rPr>
          <w:b/>
        </w:rPr>
        <w:t>Confirm when:</w:t>
      </w:r>
      <w:r>
        <w:t xml:space="preserve"> Confirm when the performer identifies as having limb difference, limb loss, amputation, congenital limb absence or another qualifying limb variation.</w:t>
      </w:r>
    </w:p>
    <w:p>
      <w:pPr>
        <w:widowControl/>
      </w:pPr>
      <w:r>
        <w:rPr>
          <w:b/>
        </w:rPr>
        <w:t>Do not confirm when:</w:t>
      </w:r>
      <w:r>
        <w:t xml:space="preserve"> Do not infer from appearance, prosthetic use in a role, stunt work or a third party’s description.</w:t>
      </w:r>
    </w:p>
    <w:p>
      <w:pPr>
        <w:widowControl/>
      </w:pPr>
      <w:r>
        <w:rPr>
          <w:b/>
        </w:rPr>
        <w:t>Record:</w:t>
      </w:r>
      <w:r>
        <w:t xml:space="preserve"> Record whether the performer uses limb difference, amputee, limb loss or another term.</w:t>
      </w:r>
    </w:p>
    <w:p>
      <w:pPr>
        <w:pStyle w:val="Heading2"/>
        <w:widowControl/>
      </w:pPr>
      <w:r>
        <w:t>9.7 Speech impairment</w:t>
      </w:r>
    </w:p>
    <w:p>
      <w:pPr>
        <w:widowControl/>
      </w:pPr>
      <w:r>
        <w:rPr>
          <w:b/>
        </w:rPr>
        <w:t>Confirm when:</w:t>
      </w:r>
      <w:r>
        <w:t xml:space="preserve"> Confirm when the performer identifies as having a speech impairment, stammer, stutter or another speech difference within the project definition.</w:t>
      </w:r>
    </w:p>
    <w:p>
      <w:pPr>
        <w:widowControl/>
      </w:pPr>
      <w:r>
        <w:rPr>
          <w:b/>
        </w:rPr>
        <w:t>Do not confirm when:</w:t>
      </w:r>
      <w:r>
        <w:t xml:space="preserve"> Do not infer from accent, vocal quality, performance, language fluency, interview pacing or a character voice.</w:t>
      </w:r>
    </w:p>
    <w:p>
      <w:pPr>
        <w:widowControl/>
      </w:pPr>
      <w:r>
        <w:rPr>
          <w:b/>
        </w:rPr>
        <w:t>Record:</w:t>
      </w:r>
      <w:r>
        <w:t xml:space="preserve"> Preserve the performer’s own term; do not replace stammer with stutter or vice versa.</w:t>
      </w:r>
    </w:p>
    <w:p>
      <w:pPr>
        <w:pStyle w:val="Heading2"/>
        <w:widowControl/>
      </w:pPr>
      <w:r>
        <w:t>9.8 Cerebral palsy or brain injury</w:t>
      </w:r>
    </w:p>
    <w:p>
      <w:pPr>
        <w:widowControl/>
      </w:pPr>
      <w:r>
        <w:rPr>
          <w:b/>
        </w:rPr>
        <w:t>Confirm when:</w:t>
      </w:r>
      <w:r>
        <w:t xml:space="preserve"> Confirm when the performer states that they have cerebral palsy or a qualifying acquired, traumatic or other brain injury.</w:t>
      </w:r>
    </w:p>
    <w:p>
      <w:pPr>
        <w:widowControl/>
      </w:pPr>
      <w:r>
        <w:rPr>
          <w:b/>
        </w:rPr>
        <w:t>Do not confirm when:</w:t>
      </w:r>
      <w:r>
        <w:t xml:space="preserve"> Do not infer cerebral palsy from movement or speech. Do not include a neurological condition automatically unless the controlled definition explicitly includes it.</w:t>
      </w:r>
    </w:p>
    <w:p>
      <w:pPr>
        <w:widowControl/>
      </w:pPr>
      <w:r>
        <w:rPr>
          <w:b/>
        </w:rPr>
        <w:t>Record:</w:t>
      </w:r>
      <w:r>
        <w:t xml:space="preserve"> Record the specific condition and, for brain injury, any public wording about acquired or traumatic origin.</w:t>
      </w:r>
    </w:p>
    <w:p>
      <w:pPr>
        <w:pStyle w:val="Heading2"/>
        <w:widowControl/>
      </w:pPr>
      <w:r>
        <w:t>9.9 Blind or vision impaired</w:t>
      </w:r>
    </w:p>
    <w:p>
      <w:pPr>
        <w:widowControl/>
      </w:pPr>
      <w:r>
        <w:rPr>
          <w:b/>
        </w:rPr>
        <w:t>Confirm when:</w:t>
      </w:r>
      <w:r>
        <w:t xml:space="preserve"> Confirm when the performer identifies as blind, partially sighted, visually impaired, vision impaired, having low vision or another qualifying term.</w:t>
      </w:r>
    </w:p>
    <w:p>
      <w:pPr>
        <w:widowControl/>
      </w:pPr>
      <w:r>
        <w:rPr>
          <w:b/>
        </w:rPr>
        <w:t>Do not confirm when:</w:t>
      </w:r>
      <w:r>
        <w:t xml:space="preserve"> Do not infer from glasses, a cane in a role, eye appearance, an RNIB campaign or a visually impaired character.</w:t>
      </w:r>
    </w:p>
    <w:p>
      <w:pPr>
        <w:widowControl/>
      </w:pPr>
      <w:r>
        <w:rPr>
          <w:b/>
        </w:rPr>
        <w:t>Record:</w:t>
      </w:r>
      <w:r>
        <w:t xml:space="preserve"> Preserve the performer’s preferred term and avoid converting partial sight into blindness.</w:t>
      </w:r>
    </w:p>
    <w:p>
      <w:pPr>
        <w:pStyle w:val="Heading2"/>
        <w:widowControl/>
      </w:pPr>
      <w:r>
        <w:t>9.10 Short stature</w:t>
      </w:r>
    </w:p>
    <w:p>
      <w:pPr>
        <w:widowControl/>
      </w:pPr>
      <w:r>
        <w:rPr>
          <w:b/>
        </w:rPr>
        <w:t>Confirm when:</w:t>
      </w:r>
      <w:r>
        <w:t xml:space="preserve"> Confirm when the performer identifies as having dwarfism, being a little person, having short stature or another qualifying identity.</w:t>
      </w:r>
    </w:p>
    <w:p>
      <w:pPr>
        <w:widowControl/>
      </w:pPr>
      <w:r>
        <w:rPr>
          <w:b/>
        </w:rPr>
        <w:t>Do not confirm when:</w:t>
      </w:r>
      <w:r>
        <w:t xml:space="preserve"> Do not infer from height, photographs, roles or casting categories. Historical words such as midget or dwarf may assist discovery but do not independently establish classification.</w:t>
      </w:r>
    </w:p>
    <w:p>
      <w:pPr>
        <w:widowControl/>
      </w:pPr>
      <w:r>
        <w:rPr>
          <w:b/>
        </w:rPr>
        <w:t>Record:</w:t>
      </w:r>
      <w:r>
        <w:t xml:space="preserve"> Use the performer’s current preferred terminology. Quote derogatory historical wording only when essential and contextualised.</w:t>
      </w:r>
    </w:p>
    <w:p>
      <w:pPr>
        <w:pStyle w:val="Heading2"/>
        <w:widowControl/>
      </w:pPr>
      <w:r>
        <w:t>9.11 Neurodivergent</w:t>
      </w:r>
    </w:p>
    <w:p>
      <w:pPr>
        <w:widowControl/>
      </w:pPr>
      <w:r>
        <w:rPr>
          <w:b/>
        </w:rPr>
        <w:t>Confirm when:</w:t>
      </w:r>
      <w:r>
        <w:t xml:space="preserve"> Confirm when the performer identifies as neurodivergent or states that they are dyslexic, autistic, dyspraxic, ADHD, ADD, or another identity explicitly approved by this RAG.</w:t>
      </w:r>
    </w:p>
    <w:p>
      <w:pPr>
        <w:widowControl/>
      </w:pPr>
      <w:r>
        <w:rPr>
          <w:b/>
        </w:rPr>
        <w:t>Do not confirm when:</w:t>
      </w:r>
      <w:r>
        <w:t xml:space="preserve"> Do not infer from personality, creativity, school difficulty, mental-health discussion, “traits”, a character connection or another person’s retrospective diagnosis.</w:t>
      </w:r>
    </w:p>
    <w:p>
      <w:pPr>
        <w:widowControl/>
      </w:pPr>
      <w:r>
        <w:rPr>
          <w:b/>
        </w:rPr>
        <w:t>Record:</w:t>
      </w:r>
      <w:r>
        <w:t xml:space="preserve"> Record the specific identity. Record self-diagnosed or awaiting-assessment status when the performer states it.</w:t>
      </w:r>
    </w:p>
    <w:p>
      <w:pPr>
        <w:pStyle w:val="Heading2"/>
        <w:widowControl/>
      </w:pPr>
      <w:r>
        <w:t>9.12 Categories not currently controlled</w:t>
      </w:r>
    </w:p>
    <w:p>
      <w:pPr>
        <w:widowControl/>
      </w:pPr>
      <w:r>
        <w:t>Do not create new categories for chronic illness, mental health, learning disability, intellectual disability, epilepsy, chronic pain or other identities unless the user explicitly expands the controlled taxonomy. Relevant public wording may be preserved in Research summary and routed to human review without forcing it into an inaccurate category.</w:t>
      </w:r>
    </w:p>
    <w:p>
      <w:pPr>
        <w:pStyle w:val="Heading2"/>
        <w:widowControl/>
      </w:pPr>
      <w:r>
        <w:t>9.13 Multiple and intersectional categories</w:t>
      </w:r>
    </w:p>
    <w:p>
      <w:pPr>
        <w:pStyle w:val="ListBullet"/>
        <w:widowControl/>
      </w:pPr>
      <w:r>
        <w:t>Verify each category independently.</w:t>
      </w:r>
    </w:p>
    <w:p>
      <w:pPr>
        <w:pStyle w:val="ListBullet"/>
        <w:widowControl/>
      </w:pPr>
      <w:r>
        <w:t>A single source may support several categories only when it explicitly supports each one.</w:t>
      </w:r>
    </w:p>
    <w:p>
      <w:pPr>
        <w:pStyle w:val="ListBullet"/>
        <w:widowControl/>
      </w:pPr>
      <w:r>
        <w:t>Do not add Physical disability as an umbrella for Wheelchair user, Limb difference, Facial difference or Cerebral palsy unless independently supported.</w:t>
      </w:r>
    </w:p>
    <w:p>
      <w:pPr>
        <w:pStyle w:val="ListBullet"/>
        <w:widowControl/>
      </w:pPr>
      <w:r>
        <w:t>Preserve confirmed and unsupported categories for the same performer as separate findings.</w:t>
      </w:r>
    </w:p>
    <w:p>
      <w:pPr>
        <w:pStyle w:val="ListBullet"/>
        <w:widowControl/>
      </w:pPr>
      <w:r>
        <w:t>Category count is the number of distinct verified controlled categories, not the number of conditions or sources.</w:t>
      </w:r>
    </w:p>
    <w:p>
      <w:pPr>
        <w:pStyle w:val="Heading1"/>
        <w:widowControl/>
      </w:pPr>
      <w:r>
        <w:t>10. Independent verification</w:t>
      </w:r>
    </w:p>
    <w:p>
      <w:pPr>
        <w:pStyle w:val="Heading2"/>
        <w:widowControl/>
      </w:pPr>
      <w:r>
        <w:t>10.1 Purpose</w:t>
      </w:r>
    </w:p>
    <w:p>
      <w:pPr>
        <w:widowControl/>
      </w:pPr>
      <w:r>
        <w:t>Verification tests the finding, not the researcher. It must challenge identity, attribution, meaning and category fit before any master-register update.</w:t>
      </w:r>
    </w:p>
    <w:p>
      <w:pPr>
        <w:pStyle w:val="Heading2"/>
        <w:widowControl/>
      </w:pPr>
      <w:r>
        <w:t>10.2 Verification checklist</w:t>
      </w:r>
    </w:p>
    <w:p>
      <w:pPr>
        <w:pStyle w:val="ListBullet"/>
        <w:widowControl/>
      </w:pPr>
      <w:r>
        <w:t>IMDb identity and relevant professional credit match.</w:t>
      </w:r>
    </w:p>
    <w:p>
      <w:pPr>
        <w:pStyle w:val="ListBullet"/>
        <w:widowControl/>
      </w:pPr>
      <w:r>
        <w:t>The underlying source was opened and examined.</w:t>
      </w:r>
    </w:p>
    <w:p>
      <w:pPr>
        <w:pStyle w:val="ListBullet"/>
        <w:widowControl/>
      </w:pPr>
      <w:r>
        <w:t>The statement is attributable to the performer or appears in a clearly authorised biography.</w:t>
      </w:r>
    </w:p>
    <w:p>
      <w:pPr>
        <w:pStyle w:val="ListBullet"/>
        <w:widowControl/>
      </w:pPr>
      <w:r>
        <w:t>The performer is discussing themselves.</w:t>
      </w:r>
    </w:p>
    <w:p>
      <w:pPr>
        <w:pStyle w:val="ListBullet"/>
        <w:widowControl/>
      </w:pPr>
      <w:r>
        <w:t>The statement is public and not extracted from private or restricted material.</w:t>
      </w:r>
    </w:p>
    <w:p>
      <w:pPr>
        <w:pStyle w:val="ListBullet"/>
        <w:widowControl/>
      </w:pPr>
      <w:r>
        <w:t>The evidence does not depend on appearance, behaviour, role, casting or association.</w:t>
      </w:r>
    </w:p>
    <w:p>
      <w:pPr>
        <w:pStyle w:val="ListBullet"/>
        <w:widowControl/>
      </w:pPr>
      <w:r>
        <w:t>The proposed category follows its definition.</w:t>
      </w:r>
    </w:p>
    <w:p>
      <w:pPr>
        <w:pStyle w:val="ListBullet"/>
        <w:widowControl/>
      </w:pPr>
      <w:r>
        <w:t>The evidence summary and short quotation are accurate and proportionate.</w:t>
      </w:r>
    </w:p>
    <w:p>
      <w:pPr>
        <w:pStyle w:val="ListBullet"/>
        <w:widowControl/>
      </w:pPr>
      <w:r>
        <w:t>The direct URL leads to the stated evidence or a clearly labelled archived copy.</w:t>
      </w:r>
    </w:p>
    <w:p>
      <w:pPr>
        <w:pStyle w:val="ListBullet"/>
        <w:widowControl/>
      </w:pPr>
      <w:r>
        <w:t>Self-diagnosis, uncertainty and historical wording are represented accurately.</w:t>
      </w:r>
    </w:p>
    <w:p>
      <w:pPr>
        <w:pStyle w:val="ListBullet"/>
        <w:widowControl/>
      </w:pPr>
      <w:r>
        <w:t>Every additional category has independent support.</w:t>
      </w:r>
    </w:p>
    <w:p>
      <w:pPr>
        <w:pStyle w:val="Heading2"/>
        <w:widowControl/>
      </w:pPr>
      <w:r>
        <w:t>10.3 Verification independence</w:t>
      </w:r>
    </w:p>
    <w:p>
      <w:pPr>
        <w:widowControl/>
      </w:pPr>
      <w:r>
        <w:t>Where possible, verification should be completed by a different researcher or a separate model pass that does not merely repeat the original conclusion. The verifier should receive the finding, identity data and cited source, then independently examine the source. If the same system performs both passes, separate the passes and require a fresh decision against the checklist.</w:t>
      </w:r>
    </w:p>
    <w:p>
      <w:pPr>
        <w:pStyle w:val="Heading2"/>
        <w:widowControl/>
      </w:pPr>
      <w:r>
        <w:t>10.4 Verification decisions</w:t>
      </w:r>
    </w:p>
    <w:tbl>
      <w:tblPr>
        <w:tblW w:type="dxa" w:w="9360"/>
        <w:jc w:val="center"/>
        <w:tblLayout w:type="fixed"/>
        <w:tblLook w:firstColumn="1" w:firstRow="1" w:lastColumn="0" w:lastRow="0" w:noHBand="0" w:noVBand="1" w:val="04A0"/>
      </w:tblPr>
      <w:tblGrid>
        <w:gridCol w:w="4896"/>
        <w:gridCol w:w="4896"/>
      </w:tblGrid>
      <w:tr>
        <w:trPr>
          <w:tblHeader/>
        </w:trPr>
        <w:tc>
          <w:tcPr>
            <w:tcW w:type="dxa" w:w="288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Decision</w:t>
            </w:r>
          </w:p>
        </w:tc>
        <w:tc>
          <w:tcPr>
            <w:tcW w:type="dxa" w:w="648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Meaning</w:t>
            </w:r>
          </w:p>
        </w:tc>
      </w:tr>
      <w:tr>
        <w:trPr/>
        <w:tc>
          <w:tcPr>
            <w:tcW w:type="dxa" w:w="2880"/>
            <w:vAlign w:val="center"/>
            <w:tcMar>
              <w:top w:w="80" w:type="dxa"/>
              <w:start w:w="120" w:type="dxa"/>
              <w:bottom w:w="80" w:type="dxa"/>
              <w:end w:w="120" w:type="dxa"/>
            </w:tcMar>
            <w:shd w:fill="E8EEF5"/>
          </w:tcPr>
          <w:p>
            <w:pPr>
              <w:spacing w:after="0" w:line="264" w:lineRule="auto"/>
            </w:pPr>
            <w:r/>
            <w:r>
              <w:rPr>
                <w:rFonts w:ascii="Calibri" w:hAnsi="Calibri"/>
                <w:b w:val="0"/>
                <w:sz w:val="18"/>
              </w:rPr>
              <w:t>Verified</w:t>
            </w:r>
          </w:p>
        </w:tc>
        <w:tc>
          <w:tcPr>
            <w:tcW w:type="dxa" w:w="6480"/>
            <w:vAlign w:val="center"/>
            <w:tcMar>
              <w:top w:w="80" w:type="dxa"/>
              <w:start w:w="120" w:type="dxa"/>
              <w:bottom w:w="80" w:type="dxa"/>
              <w:end w:w="120" w:type="dxa"/>
            </w:tcMar>
            <w:shd w:fill="E8EEF5"/>
          </w:tcPr>
          <w:p>
            <w:pPr>
              <w:spacing w:after="0" w:line="264" w:lineRule="auto"/>
            </w:pPr>
            <w:r/>
            <w:r>
              <w:rPr>
                <w:rFonts w:ascii="Calibri" w:hAnsi="Calibri"/>
                <w:b w:val="0"/>
                <w:sz w:val="18"/>
              </w:rPr>
              <w:t>Identity, attribution, evidence and category all meet the threshold.</w:t>
            </w:r>
          </w:p>
        </w:tc>
      </w:tr>
      <w:tr>
        <w:trPr/>
        <w:tc>
          <w:tcPr>
            <w:tcW w:type="dxa" w:w="2880"/>
            <w:vAlign w:val="center"/>
            <w:tcMar>
              <w:top w:w="80" w:type="dxa"/>
              <w:start w:w="120" w:type="dxa"/>
              <w:bottom w:w="80" w:type="dxa"/>
              <w:end w:w="120" w:type="dxa"/>
            </w:tcMar>
            <w:shd w:fill="FFFFFF"/>
          </w:tcPr>
          <w:p>
            <w:pPr>
              <w:spacing w:after="0" w:line="264" w:lineRule="auto"/>
            </w:pPr>
            <w:r/>
            <w:r>
              <w:rPr>
                <w:rFonts w:ascii="Calibri" w:hAnsi="Calibri"/>
                <w:b w:val="0"/>
                <w:sz w:val="18"/>
              </w:rPr>
              <w:t>Rejected</w:t>
            </w:r>
          </w:p>
        </w:tc>
        <w:tc>
          <w:tcPr>
            <w:tcW w:type="dxa" w:w="6480"/>
            <w:vAlign w:val="center"/>
            <w:tcMar>
              <w:top w:w="80" w:type="dxa"/>
              <w:start w:w="120" w:type="dxa"/>
              <w:bottom w:w="80" w:type="dxa"/>
              <w:end w:w="120" w:type="dxa"/>
            </w:tcMar>
            <w:shd w:fill="FFFFFF"/>
          </w:tcPr>
          <w:p>
            <w:pPr>
              <w:spacing w:after="0" w:line="264" w:lineRule="auto"/>
            </w:pPr>
            <w:r/>
            <w:r>
              <w:rPr>
                <w:rFonts w:ascii="Calibri" w:hAnsi="Calibri"/>
                <w:b w:val="0"/>
                <w:sz w:val="18"/>
              </w:rPr>
              <w:t>The proposed classification fails a mandatory test.</w:t>
            </w:r>
          </w:p>
        </w:tc>
      </w:tr>
      <w:tr>
        <w:trPr/>
        <w:tc>
          <w:tcPr>
            <w:tcW w:type="dxa" w:w="2880"/>
            <w:vAlign w:val="center"/>
            <w:tcMar>
              <w:top w:w="80" w:type="dxa"/>
              <w:start w:w="120" w:type="dxa"/>
              <w:bottom w:w="80" w:type="dxa"/>
              <w:end w:w="120" w:type="dxa"/>
            </w:tcMar>
            <w:shd w:fill="E8EEF5"/>
          </w:tcPr>
          <w:p>
            <w:pPr>
              <w:spacing w:after="0" w:line="264" w:lineRule="auto"/>
            </w:pPr>
            <w:r/>
            <w:r>
              <w:rPr>
                <w:rFonts w:ascii="Calibri" w:hAnsi="Calibri"/>
                <w:b w:val="0"/>
                <w:sz w:val="18"/>
              </w:rPr>
              <w:t>Ambiguous</w:t>
            </w:r>
          </w:p>
        </w:tc>
        <w:tc>
          <w:tcPr>
            <w:tcW w:type="dxa" w:w="6480"/>
            <w:vAlign w:val="center"/>
            <w:tcMar>
              <w:top w:w="80" w:type="dxa"/>
              <w:start w:w="120" w:type="dxa"/>
              <w:bottom w:w="80" w:type="dxa"/>
              <w:end w:w="120" w:type="dxa"/>
            </w:tcMar>
            <w:shd w:fill="E8EEF5"/>
          </w:tcPr>
          <w:p>
            <w:pPr>
              <w:spacing w:after="0" w:line="264" w:lineRule="auto"/>
            </w:pPr>
            <w:r/>
            <w:r>
              <w:rPr>
                <w:rFonts w:ascii="Calibri" w:hAnsi="Calibri"/>
                <w:b w:val="0"/>
                <w:sz w:val="18"/>
              </w:rPr>
              <w:t>Evidence has more than one reasonable interpretation.</w:t>
            </w:r>
          </w:p>
        </w:tc>
      </w:tr>
      <w:tr>
        <w:trPr/>
        <w:tc>
          <w:tcPr>
            <w:tcW w:type="dxa" w:w="2880"/>
            <w:vAlign w:val="center"/>
            <w:tcMar>
              <w:top w:w="80" w:type="dxa"/>
              <w:start w:w="120" w:type="dxa"/>
              <w:bottom w:w="80" w:type="dxa"/>
              <w:end w:w="120" w:type="dxa"/>
            </w:tcMar>
            <w:shd w:fill="FFFFFF"/>
          </w:tcPr>
          <w:p>
            <w:pPr>
              <w:spacing w:after="0" w:line="264" w:lineRule="auto"/>
            </w:pPr>
            <w:r/>
            <w:r>
              <w:rPr>
                <w:rFonts w:ascii="Calibri" w:hAnsi="Calibri"/>
                <w:b w:val="0"/>
                <w:sz w:val="18"/>
              </w:rPr>
              <w:t>Additional evidence required</w:t>
            </w:r>
          </w:p>
        </w:tc>
        <w:tc>
          <w:tcPr>
            <w:tcW w:type="dxa" w:w="6480"/>
            <w:vAlign w:val="center"/>
            <w:tcMar>
              <w:top w:w="80" w:type="dxa"/>
              <w:start w:w="120" w:type="dxa"/>
              <w:bottom w:w="80" w:type="dxa"/>
              <w:end w:w="120" w:type="dxa"/>
            </w:tcMar>
            <w:shd w:fill="FFFFFF"/>
          </w:tcPr>
          <w:p>
            <w:pPr>
              <w:spacing w:after="0" w:line="264" w:lineRule="auto"/>
            </w:pPr>
            <w:r/>
            <w:r>
              <w:rPr>
                <w:rFonts w:ascii="Calibri" w:hAnsi="Calibri"/>
                <w:b w:val="0"/>
                <w:sz w:val="18"/>
              </w:rPr>
              <w:t>The claim may qualify but a material gap remains.</w:t>
            </w:r>
          </w:p>
        </w:tc>
      </w:tr>
      <w:tr>
        <w:trPr/>
        <w:tc>
          <w:tcPr>
            <w:tcW w:type="dxa" w:w="2880"/>
            <w:vAlign w:val="center"/>
            <w:tcMar>
              <w:top w:w="80" w:type="dxa"/>
              <w:start w:w="120" w:type="dxa"/>
              <w:bottom w:w="80" w:type="dxa"/>
              <w:end w:w="120" w:type="dxa"/>
            </w:tcMar>
            <w:shd w:fill="E8EEF5"/>
          </w:tcPr>
          <w:p>
            <w:pPr>
              <w:spacing w:after="0" w:line="264" w:lineRule="auto"/>
            </w:pPr>
            <w:r/>
            <w:r>
              <w:rPr>
                <w:rFonts w:ascii="Calibri" w:hAnsi="Calibri"/>
                <w:b w:val="0"/>
                <w:sz w:val="18"/>
              </w:rPr>
              <w:t>Identity unresolved</w:t>
            </w:r>
          </w:p>
        </w:tc>
        <w:tc>
          <w:tcPr>
            <w:tcW w:type="dxa" w:w="6480"/>
            <w:vAlign w:val="center"/>
            <w:tcMar>
              <w:top w:w="80" w:type="dxa"/>
              <w:start w:w="120" w:type="dxa"/>
              <w:bottom w:w="80" w:type="dxa"/>
              <w:end w:w="120" w:type="dxa"/>
            </w:tcMar>
            <w:shd w:fill="E8EEF5"/>
          </w:tcPr>
          <w:p>
            <w:pPr>
              <w:spacing w:after="0" w:line="264" w:lineRule="auto"/>
            </w:pPr>
            <w:r/>
            <w:r>
              <w:rPr>
                <w:rFonts w:ascii="Calibri" w:hAnsi="Calibri"/>
                <w:b w:val="0"/>
                <w:sz w:val="18"/>
              </w:rPr>
              <w:t>The evidence cannot be tied safely to the intended performer.</w:t>
            </w:r>
          </w:p>
        </w:tc>
      </w:tr>
    </w:tbl>
    <w:p>
      <w:pPr>
        <w:widowControl/>
        <w:spacing w:after="40"/>
      </w:pPr>
    </w:p>
    <w:p>
      <w:pPr>
        <w:pStyle w:val="Heading1"/>
        <w:widowControl/>
      </w:pPr>
      <w:r>
        <w:t>11. Uncertainty and edge cases</w:t>
      </w:r>
    </w:p>
    <w:p>
      <w:pPr>
        <w:pStyle w:val="Heading2"/>
        <w:widowControl/>
      </w:pPr>
      <w:r>
        <w:t>11.1 No qualifying disclosure found</w:t>
      </w:r>
    </w:p>
    <w:p>
      <w:pPr>
        <w:widowControl/>
      </w:pPr>
      <w:r>
        <w:t>This outcome means only that the defined public search did not locate qualifying evidence. It must never be rewritten as “not disabled”, “no disability”, “false”, “negative” or “does not identify”.</w:t>
      </w:r>
    </w:p>
    <w:p>
      <w:pPr>
        <w:pStyle w:val="Heading2"/>
        <w:widowControl/>
      </w:pPr>
      <w:r>
        <w:t>11.2 Changed terminology or identity</w:t>
      </w:r>
    </w:p>
    <w:p>
      <w:pPr>
        <w:widowControl/>
      </w:pPr>
      <w:r>
        <w:t>Where a performer has used different terms over time, record the wording relevant to each source and prefer the most recent clear self-description for the current terminology field. Do not erase historically relevant wording from the evidence record.</w:t>
      </w:r>
    </w:p>
    <w:p>
      <w:pPr>
        <w:pStyle w:val="Heading2"/>
        <w:widowControl/>
      </w:pPr>
      <w:r>
        <w:t>11.3 Deceased performers</w:t>
      </w:r>
    </w:p>
    <w:p>
      <w:pPr>
        <w:widowControl/>
      </w:pPr>
      <w:r>
        <w:t>Apply the same self-disclosure standard. Contemporary interviews, autobiographies, recordings and authorised biographies may qualify. Do not retrospectively diagnose from medical histories, obituaries or modern commentary.</w:t>
      </w:r>
    </w:p>
    <w:p>
      <w:pPr>
        <w:pStyle w:val="Heading2"/>
        <w:widowControl/>
      </w:pPr>
      <w:r>
        <w:t>11.4 Child performers</w:t>
      </w:r>
    </w:p>
    <w:p>
      <w:pPr>
        <w:widowControl/>
      </w:pPr>
      <w:r>
        <w:t>Use heightened restraint. Prefer direct age-appropriate public statements or clearly authorised biographies. A parent’s statement about a child may establish factual identity information only when the project explicitly authorises guardian disclosure; under the default rule it is not performer self-disclosure and requires human review.</w:t>
      </w:r>
    </w:p>
    <w:p>
      <w:pPr>
        <w:pStyle w:val="Heading2"/>
        <w:widowControl/>
      </w:pPr>
      <w:r>
        <w:t>11.5 Translation</w:t>
      </w:r>
    </w:p>
    <w:p>
      <w:pPr>
        <w:widowControl/>
      </w:pPr>
      <w:r>
        <w:t>Evidence in another language may qualify when the original source is available and the translation is reliable. Record the original wording where practical, identify the translator or translation method, and avoid resolving ambiguous identity terms through machine translation alone.</w:t>
      </w:r>
    </w:p>
    <w:p>
      <w:pPr>
        <w:pStyle w:val="Heading2"/>
        <w:widowControl/>
      </w:pPr>
      <w:r>
        <w:t>11.6 Paywalls and unavailable media</w:t>
      </w:r>
    </w:p>
    <w:p>
      <w:pPr>
        <w:widowControl/>
      </w:pPr>
      <w:r>
        <w:t>A paywalled source may be used only when the researcher has legitimate access and can examine it. A search snippet or another article’s paraphrase is not a substitute. If audio or video is unavailable, mark Source unavailable unless a reputable transcript reproduces the disclosure accurately.</w:t>
      </w:r>
    </w:p>
    <w:p>
      <w:pPr>
        <w:pStyle w:val="Heading2"/>
        <w:widowControl/>
      </w:pPr>
      <w:r>
        <w:t>11.7 Deleted public posts</w:t>
      </w:r>
    </w:p>
    <w:p>
      <w:pPr>
        <w:widowControl/>
      </w:pPr>
      <w:r>
        <w:t>Do not rely on screenshots of uncertain provenance. A reputable archived copy or credible publication reproducing the performer’s attributable words may be considered under the relevant secondary-source rule. Record that the original is unavailable.</w:t>
      </w:r>
    </w:p>
    <w:p>
      <w:pPr>
        <w:pStyle w:val="Heading2"/>
        <w:widowControl/>
      </w:pPr>
      <w:r>
        <w:t>11.8 Agency and directory profiles</w:t>
      </w:r>
    </w:p>
    <w:p>
      <w:pPr>
        <w:widowControl/>
      </w:pPr>
      <w:r>
        <w:t>An individual profile can qualify when it explicitly identifies the performer and is clearly authorised. Directory membership alone qualifies only as a research lead unless the directory expressly defines all listed members by the relevant identity and the project accepts that identity-level evidence. It never establishes a specific category without wording supporting that category.</w:t>
      </w:r>
    </w:p>
    <w:p>
      <w:pPr>
        <w:pStyle w:val="Heading2"/>
        <w:widowControl/>
      </w:pPr>
      <w:r>
        <w:t>11.9 Condition without disability identity</w:t>
      </w:r>
    </w:p>
    <w:p>
      <w:pPr>
        <w:widowControl/>
      </w:pPr>
      <w:r>
        <w:t>A performer need not use the word disabled if they clearly state a condition or impairment that the controlled definition expressly includes. Do not extend this rule to conditions that are not named or clearly covered by the taxonomy.</w:t>
      </w:r>
    </w:p>
    <w:p>
      <w:pPr>
        <w:pStyle w:val="Heading2"/>
        <w:widowControl/>
      </w:pPr>
      <w:r>
        <w:t>11.10 Comorbidity and causal assumptions</w:t>
      </w:r>
    </w:p>
    <w:p>
      <w:pPr>
        <w:widowControl/>
      </w:pPr>
      <w:r>
        <w:t>Do not infer a second condition because it commonly co-occurs with a confirmed condition. Do not infer wheelchair use, speech difference, learning disability or neurodivergence from cerebral palsy or another diagnosis.</w:t>
      </w:r>
    </w:p>
    <w:p>
      <w:pPr>
        <w:pStyle w:val="Heading1"/>
        <w:widowControl/>
      </w:pPr>
      <w:r>
        <w:t>12. Research outcomes and decision logic</w:t>
      </w:r>
    </w:p>
    <w:tbl>
      <w:tblPr>
        <w:tblW w:type="dxa" w:w="9360"/>
        <w:jc w:val="center"/>
        <w:tblLayout w:type="fixed"/>
        <w:tblLook w:firstColumn="1" w:firstRow="1" w:lastColumn="0" w:lastRow="0" w:noHBand="0" w:noVBand="1" w:val="04A0"/>
      </w:tblPr>
      <w:tblGrid>
        <w:gridCol w:w="3264"/>
        <w:gridCol w:w="3264"/>
        <w:gridCol w:w="3264"/>
      </w:tblGrid>
      <w:tr>
        <w:trPr>
          <w:tblHeader/>
        </w:trPr>
        <w:tc>
          <w:tcPr>
            <w:tcW w:type="dxa" w:w="2232"/>
            <w:vAlign w:val="center"/>
            <w:tcMar>
              <w:top w:w="80" w:type="dxa"/>
              <w:start w:w="120" w:type="dxa"/>
              <w:bottom w:w="80" w:type="dxa"/>
              <w:end w:w="120" w:type="dxa"/>
            </w:tcMar>
            <w:shd w:fill="2E74B5"/>
          </w:tcPr>
          <w:p>
            <w:pPr>
              <w:spacing w:after="0" w:line="264" w:lineRule="auto"/>
            </w:pPr>
            <w:r/>
            <w:r>
              <w:rPr>
                <w:rFonts w:ascii="Calibri" w:hAnsi="Calibri"/>
                <w:b/>
                <w:color w:val="FFFFFF"/>
                <w:sz w:val="18"/>
              </w:rPr>
              <w:t>Outcome</w:t>
            </w:r>
          </w:p>
        </w:tc>
        <w:tc>
          <w:tcPr>
            <w:tcW w:type="dxa" w:w="4392"/>
            <w:vAlign w:val="center"/>
            <w:tcMar>
              <w:top w:w="80" w:type="dxa"/>
              <w:start w:w="120" w:type="dxa"/>
              <w:bottom w:w="80" w:type="dxa"/>
              <w:end w:w="120" w:type="dxa"/>
            </w:tcMar>
            <w:shd w:fill="2E74B5"/>
          </w:tcPr>
          <w:p>
            <w:pPr>
              <w:spacing w:after="0" w:line="264" w:lineRule="auto"/>
            </w:pPr>
            <w:r/>
            <w:r>
              <w:rPr>
                <w:rFonts w:ascii="Calibri" w:hAnsi="Calibri"/>
                <w:b/>
                <w:color w:val="FFFFFF"/>
                <w:sz w:val="18"/>
              </w:rPr>
              <w:t>Use when</w:t>
            </w:r>
          </w:p>
        </w:tc>
        <w:tc>
          <w:tcPr>
            <w:tcW w:type="dxa" w:w="2736"/>
            <w:vAlign w:val="center"/>
            <w:tcMar>
              <w:top w:w="80" w:type="dxa"/>
              <w:start w:w="120" w:type="dxa"/>
              <w:bottom w:w="80" w:type="dxa"/>
              <w:end w:w="120" w:type="dxa"/>
            </w:tcMar>
            <w:shd w:fill="2E74B5"/>
          </w:tcPr>
          <w:p>
            <w:pPr>
              <w:spacing w:after="0" w:line="264" w:lineRule="auto"/>
            </w:pPr>
            <w:r/>
            <w:r>
              <w:rPr>
                <w:rFonts w:ascii="Calibri" w:hAnsi="Calibri"/>
                <w:b/>
                <w:color w:val="FFFFFF"/>
                <w:sz w:val="18"/>
              </w:rPr>
              <w:t>Master-register effect</w:t>
            </w:r>
          </w:p>
        </w:tc>
      </w:tr>
      <w:tr>
        <w:trPr/>
        <w:tc>
          <w:tcPr>
            <w:tcW w:type="dxa" w:w="2232"/>
            <w:vAlign w:val="center"/>
            <w:tcMar>
              <w:top w:w="80" w:type="dxa"/>
              <w:start w:w="120" w:type="dxa"/>
              <w:bottom w:w="80" w:type="dxa"/>
              <w:end w:w="120" w:type="dxa"/>
            </w:tcMar>
            <w:shd w:fill="E8EEF5"/>
          </w:tcPr>
          <w:p>
            <w:pPr>
              <w:spacing w:after="0" w:line="264" w:lineRule="auto"/>
            </w:pPr>
            <w:r/>
            <w:r>
              <w:rPr>
                <w:rFonts w:ascii="Calibri" w:hAnsi="Calibri"/>
                <w:b w:val="0"/>
                <w:sz w:val="18"/>
              </w:rPr>
              <w:t>Proposed confirmation</w:t>
            </w:r>
          </w:p>
        </w:tc>
        <w:tc>
          <w:tcPr>
            <w:tcW w:type="dxa" w:w="4392"/>
            <w:vAlign w:val="center"/>
            <w:tcMar>
              <w:top w:w="80" w:type="dxa"/>
              <w:start w:w="120" w:type="dxa"/>
              <w:bottom w:w="80" w:type="dxa"/>
              <w:end w:w="120" w:type="dxa"/>
            </w:tcMar>
            <w:shd w:fill="E8EEF5"/>
          </w:tcPr>
          <w:p>
            <w:pPr>
              <w:spacing w:after="0" w:line="264" w:lineRule="auto"/>
            </w:pPr>
            <w:r/>
            <w:r>
              <w:rPr>
                <w:rFonts w:ascii="Calibri" w:hAnsi="Calibri"/>
                <w:b w:val="0"/>
                <w:sz w:val="18"/>
              </w:rPr>
              <w:t>Qualifying evidence appears to support a controlled category.</w:t>
            </w:r>
          </w:p>
        </w:tc>
        <w:tc>
          <w:tcPr>
            <w:tcW w:type="dxa" w:w="2736"/>
            <w:vAlign w:val="center"/>
            <w:tcMar>
              <w:top w:w="80" w:type="dxa"/>
              <w:start w:w="120" w:type="dxa"/>
              <w:bottom w:w="80" w:type="dxa"/>
              <w:end w:w="120" w:type="dxa"/>
            </w:tcMar>
            <w:shd w:fill="E8EEF5"/>
          </w:tcPr>
          <w:p>
            <w:pPr>
              <w:spacing w:after="0" w:line="264" w:lineRule="auto"/>
            </w:pPr>
            <w:r/>
            <w:r>
              <w:rPr>
                <w:rFonts w:ascii="Calibri" w:hAnsi="Calibri"/>
                <w:b w:val="0"/>
                <w:sz w:val="18"/>
              </w:rPr>
              <w:t>No update until verification.</w:t>
            </w:r>
          </w:p>
        </w:tc>
      </w:tr>
      <w:tr>
        <w:trPr/>
        <w:tc>
          <w:tcPr>
            <w:tcW w:type="dxa" w:w="2232"/>
            <w:vAlign w:val="center"/>
            <w:tcMar>
              <w:top w:w="80" w:type="dxa"/>
              <w:start w:w="120" w:type="dxa"/>
              <w:bottom w:w="80" w:type="dxa"/>
              <w:end w:w="120" w:type="dxa"/>
            </w:tcMar>
            <w:shd w:fill="FFFFFF"/>
          </w:tcPr>
          <w:p>
            <w:pPr>
              <w:spacing w:after="0" w:line="264" w:lineRule="auto"/>
            </w:pPr>
            <w:r/>
            <w:r>
              <w:rPr>
                <w:rFonts w:ascii="Calibri" w:hAnsi="Calibri"/>
                <w:b w:val="0"/>
                <w:sz w:val="18"/>
              </w:rPr>
              <w:t>No qualifying disclosure found</w:t>
            </w:r>
          </w:p>
        </w:tc>
        <w:tc>
          <w:tcPr>
            <w:tcW w:type="dxa" w:w="4392"/>
            <w:vAlign w:val="center"/>
            <w:tcMar>
              <w:top w:w="80" w:type="dxa"/>
              <w:start w:w="120" w:type="dxa"/>
              <w:bottom w:w="80" w:type="dxa"/>
              <w:end w:w="120" w:type="dxa"/>
            </w:tcMar>
            <w:shd w:fill="FFFFFF"/>
          </w:tcPr>
          <w:p>
            <w:pPr>
              <w:spacing w:after="0" w:line="264" w:lineRule="auto"/>
            </w:pPr>
            <w:r/>
            <w:r>
              <w:rPr>
                <w:rFonts w:ascii="Calibri" w:hAnsi="Calibri"/>
                <w:b w:val="0"/>
                <w:sz w:val="18"/>
              </w:rPr>
              <w:t>Defined search completed without qualifying evidence.</w:t>
            </w:r>
          </w:p>
        </w:tc>
        <w:tc>
          <w:tcPr>
            <w:tcW w:type="dxa" w:w="2736"/>
            <w:vAlign w:val="center"/>
            <w:tcMar>
              <w:top w:w="80" w:type="dxa"/>
              <w:start w:w="120" w:type="dxa"/>
              <w:bottom w:w="80" w:type="dxa"/>
              <w:end w:w="120" w:type="dxa"/>
            </w:tcMar>
            <w:shd w:fill="FFFFFF"/>
          </w:tcPr>
          <w:p>
            <w:pPr>
              <w:spacing w:after="0" w:line="264" w:lineRule="auto"/>
            </w:pPr>
            <w:r/>
            <w:r>
              <w:rPr>
                <w:rFonts w:ascii="Calibri" w:hAnsi="Calibri"/>
                <w:b w:val="0"/>
                <w:sz w:val="18"/>
              </w:rPr>
              <w:t>No category added.</w:t>
            </w:r>
          </w:p>
        </w:tc>
      </w:tr>
      <w:tr>
        <w:trPr/>
        <w:tc>
          <w:tcPr>
            <w:tcW w:type="dxa" w:w="2232"/>
            <w:vAlign w:val="center"/>
            <w:tcMar>
              <w:top w:w="80" w:type="dxa"/>
              <w:start w:w="120" w:type="dxa"/>
              <w:bottom w:w="80" w:type="dxa"/>
              <w:end w:w="120" w:type="dxa"/>
            </w:tcMar>
            <w:shd w:fill="E8EEF5"/>
          </w:tcPr>
          <w:p>
            <w:pPr>
              <w:spacing w:after="0" w:line="264" w:lineRule="auto"/>
            </w:pPr>
            <w:r/>
            <w:r>
              <w:rPr>
                <w:rFonts w:ascii="Calibri" w:hAnsi="Calibri"/>
                <w:b w:val="0"/>
                <w:sz w:val="18"/>
              </w:rPr>
              <w:t>Ambiguous evidence</w:t>
            </w:r>
          </w:p>
        </w:tc>
        <w:tc>
          <w:tcPr>
            <w:tcW w:type="dxa" w:w="4392"/>
            <w:vAlign w:val="center"/>
            <w:tcMar>
              <w:top w:w="80" w:type="dxa"/>
              <w:start w:w="120" w:type="dxa"/>
              <w:bottom w:w="80" w:type="dxa"/>
              <w:end w:w="120" w:type="dxa"/>
            </w:tcMar>
            <w:shd w:fill="E8EEF5"/>
          </w:tcPr>
          <w:p>
            <w:pPr>
              <w:spacing w:after="0" w:line="264" w:lineRule="auto"/>
            </w:pPr>
            <w:r/>
            <w:r>
              <w:rPr>
                <w:rFonts w:ascii="Calibri" w:hAnsi="Calibri"/>
                <w:b w:val="0"/>
                <w:sz w:val="18"/>
              </w:rPr>
              <w:t>Identity or wording supports more than one reasonable interpretation.</w:t>
            </w:r>
          </w:p>
        </w:tc>
        <w:tc>
          <w:tcPr>
            <w:tcW w:type="dxa" w:w="2736"/>
            <w:vAlign w:val="center"/>
            <w:tcMar>
              <w:top w:w="80" w:type="dxa"/>
              <w:start w:w="120" w:type="dxa"/>
              <w:bottom w:w="80" w:type="dxa"/>
              <w:end w:w="120" w:type="dxa"/>
            </w:tcMar>
            <w:shd w:fill="E8EEF5"/>
          </w:tcPr>
          <w:p>
            <w:pPr>
              <w:spacing w:after="0" w:line="264" w:lineRule="auto"/>
            </w:pPr>
            <w:r/>
            <w:r>
              <w:rPr>
                <w:rFonts w:ascii="Calibri" w:hAnsi="Calibri"/>
                <w:b w:val="0"/>
                <w:sz w:val="18"/>
              </w:rPr>
              <w:t>No category added.</w:t>
            </w:r>
          </w:p>
        </w:tc>
      </w:tr>
      <w:tr>
        <w:trPr/>
        <w:tc>
          <w:tcPr>
            <w:tcW w:type="dxa" w:w="2232"/>
            <w:vAlign w:val="center"/>
            <w:tcMar>
              <w:top w:w="80" w:type="dxa"/>
              <w:start w:w="120" w:type="dxa"/>
              <w:bottom w:w="80" w:type="dxa"/>
              <w:end w:w="120" w:type="dxa"/>
            </w:tcMar>
            <w:shd w:fill="FFFFFF"/>
          </w:tcPr>
          <w:p>
            <w:pPr>
              <w:spacing w:after="0" w:line="264" w:lineRule="auto"/>
            </w:pPr>
            <w:r/>
            <w:r>
              <w:rPr>
                <w:rFonts w:ascii="Calibri" w:hAnsi="Calibri"/>
                <w:b w:val="0"/>
                <w:sz w:val="18"/>
              </w:rPr>
              <w:t>Unsupported claim</w:t>
            </w:r>
          </w:p>
        </w:tc>
        <w:tc>
          <w:tcPr>
            <w:tcW w:type="dxa" w:w="4392"/>
            <w:vAlign w:val="center"/>
            <w:tcMar>
              <w:top w:w="80" w:type="dxa"/>
              <w:start w:w="120" w:type="dxa"/>
              <w:bottom w:w="80" w:type="dxa"/>
              <w:end w:w="120" w:type="dxa"/>
            </w:tcMar>
            <w:shd w:fill="FFFFFF"/>
          </w:tcPr>
          <w:p>
            <w:pPr>
              <w:spacing w:after="0" w:line="264" w:lineRule="auto"/>
            </w:pPr>
            <w:r/>
            <w:r>
              <w:rPr>
                <w:rFonts w:ascii="Calibri" w:hAnsi="Calibri"/>
                <w:b w:val="0"/>
                <w:sz w:val="18"/>
              </w:rPr>
              <w:t>Available claim depends on inference, third party or non-qualifying source.</w:t>
            </w:r>
          </w:p>
        </w:tc>
        <w:tc>
          <w:tcPr>
            <w:tcW w:type="dxa" w:w="2736"/>
            <w:vAlign w:val="center"/>
            <w:tcMar>
              <w:top w:w="80" w:type="dxa"/>
              <w:start w:w="120" w:type="dxa"/>
              <w:bottom w:w="80" w:type="dxa"/>
              <w:end w:w="120" w:type="dxa"/>
            </w:tcMar>
            <w:shd w:fill="FFFFFF"/>
          </w:tcPr>
          <w:p>
            <w:pPr>
              <w:spacing w:after="0" w:line="264" w:lineRule="auto"/>
            </w:pPr>
            <w:r/>
            <w:r>
              <w:rPr>
                <w:rFonts w:ascii="Calibri" w:hAnsi="Calibri"/>
                <w:b w:val="0"/>
                <w:sz w:val="18"/>
              </w:rPr>
              <w:t>No category added.</w:t>
            </w:r>
          </w:p>
        </w:tc>
      </w:tr>
      <w:tr>
        <w:trPr/>
        <w:tc>
          <w:tcPr>
            <w:tcW w:type="dxa" w:w="2232"/>
            <w:vAlign w:val="center"/>
            <w:tcMar>
              <w:top w:w="80" w:type="dxa"/>
              <w:start w:w="120" w:type="dxa"/>
              <w:bottom w:w="80" w:type="dxa"/>
              <w:end w:w="120" w:type="dxa"/>
            </w:tcMar>
            <w:shd w:fill="E8EEF5"/>
          </w:tcPr>
          <w:p>
            <w:pPr>
              <w:spacing w:after="0" w:line="264" w:lineRule="auto"/>
            </w:pPr>
            <w:r/>
            <w:r>
              <w:rPr>
                <w:rFonts w:ascii="Calibri" w:hAnsi="Calibri"/>
                <w:b w:val="0"/>
                <w:sz w:val="18"/>
              </w:rPr>
              <w:t>Identity unresolved</w:t>
            </w:r>
          </w:p>
        </w:tc>
        <w:tc>
          <w:tcPr>
            <w:tcW w:type="dxa" w:w="4392"/>
            <w:vAlign w:val="center"/>
            <w:tcMar>
              <w:top w:w="80" w:type="dxa"/>
              <w:start w:w="120" w:type="dxa"/>
              <w:bottom w:w="80" w:type="dxa"/>
              <w:end w:w="120" w:type="dxa"/>
            </w:tcMar>
            <w:shd w:fill="E8EEF5"/>
          </w:tcPr>
          <w:p>
            <w:pPr>
              <w:spacing w:after="0" w:line="264" w:lineRule="auto"/>
            </w:pPr>
            <w:r/>
            <w:r>
              <w:rPr>
                <w:rFonts w:ascii="Calibri" w:hAnsi="Calibri"/>
                <w:b w:val="0"/>
                <w:sz w:val="18"/>
              </w:rPr>
              <w:t>The person cannot be safely matched.</w:t>
            </w:r>
          </w:p>
        </w:tc>
        <w:tc>
          <w:tcPr>
            <w:tcW w:type="dxa" w:w="2736"/>
            <w:vAlign w:val="center"/>
            <w:tcMar>
              <w:top w:w="80" w:type="dxa"/>
              <w:start w:w="120" w:type="dxa"/>
              <w:bottom w:w="80" w:type="dxa"/>
              <w:end w:w="120" w:type="dxa"/>
            </w:tcMar>
            <w:shd w:fill="E8EEF5"/>
          </w:tcPr>
          <w:p>
            <w:pPr>
              <w:spacing w:after="0" w:line="264" w:lineRule="auto"/>
            </w:pPr>
            <w:r/>
            <w:r>
              <w:rPr>
                <w:rFonts w:ascii="Calibri" w:hAnsi="Calibri"/>
                <w:b w:val="0"/>
                <w:sz w:val="18"/>
              </w:rPr>
              <w:t>Stop research; no category added.</w:t>
            </w:r>
          </w:p>
        </w:tc>
      </w:tr>
      <w:tr>
        <w:trPr/>
        <w:tc>
          <w:tcPr>
            <w:tcW w:type="dxa" w:w="2232"/>
            <w:vAlign w:val="center"/>
            <w:tcMar>
              <w:top w:w="80" w:type="dxa"/>
              <w:start w:w="120" w:type="dxa"/>
              <w:bottom w:w="80" w:type="dxa"/>
              <w:end w:w="120" w:type="dxa"/>
            </w:tcMar>
            <w:shd w:fill="FFFFFF"/>
          </w:tcPr>
          <w:p>
            <w:pPr>
              <w:spacing w:after="0" w:line="264" w:lineRule="auto"/>
            </w:pPr>
            <w:r/>
            <w:r>
              <w:rPr>
                <w:rFonts w:ascii="Calibri" w:hAnsi="Calibri"/>
                <w:b w:val="0"/>
                <w:sz w:val="18"/>
              </w:rPr>
              <w:t>Source unavailable</w:t>
            </w:r>
          </w:p>
        </w:tc>
        <w:tc>
          <w:tcPr>
            <w:tcW w:type="dxa" w:w="4392"/>
            <w:vAlign w:val="center"/>
            <w:tcMar>
              <w:top w:w="80" w:type="dxa"/>
              <w:start w:w="120" w:type="dxa"/>
              <w:bottom w:w="80" w:type="dxa"/>
              <w:end w:w="120" w:type="dxa"/>
            </w:tcMar>
            <w:shd w:fill="FFFFFF"/>
          </w:tcPr>
          <w:p>
            <w:pPr>
              <w:spacing w:after="0" w:line="264" w:lineRule="auto"/>
            </w:pPr>
            <w:r/>
            <w:r>
              <w:rPr>
                <w:rFonts w:ascii="Calibri" w:hAnsi="Calibri"/>
                <w:b w:val="0"/>
                <w:sz w:val="18"/>
              </w:rPr>
              <w:t>A potentially relevant underlying source cannot be examined.</w:t>
            </w:r>
          </w:p>
        </w:tc>
        <w:tc>
          <w:tcPr>
            <w:tcW w:type="dxa" w:w="2736"/>
            <w:vAlign w:val="center"/>
            <w:tcMar>
              <w:top w:w="80" w:type="dxa"/>
              <w:start w:w="120" w:type="dxa"/>
              <w:bottom w:w="80" w:type="dxa"/>
              <w:end w:w="120" w:type="dxa"/>
            </w:tcMar>
            <w:shd w:fill="FFFFFF"/>
          </w:tcPr>
          <w:p>
            <w:pPr>
              <w:spacing w:after="0" w:line="264" w:lineRule="auto"/>
            </w:pPr>
            <w:r/>
            <w:r>
              <w:rPr>
                <w:rFonts w:ascii="Calibri" w:hAnsi="Calibri"/>
                <w:b w:val="0"/>
                <w:sz w:val="18"/>
              </w:rPr>
              <w:t>No category added.</w:t>
            </w:r>
          </w:p>
        </w:tc>
      </w:tr>
      <w:tr>
        <w:trPr/>
        <w:tc>
          <w:tcPr>
            <w:tcW w:type="dxa" w:w="2232"/>
            <w:vAlign w:val="center"/>
            <w:tcMar>
              <w:top w:w="80" w:type="dxa"/>
              <w:start w:w="120" w:type="dxa"/>
              <w:bottom w:w="80" w:type="dxa"/>
              <w:end w:w="120" w:type="dxa"/>
            </w:tcMar>
            <w:shd w:fill="E8EEF5"/>
          </w:tcPr>
          <w:p>
            <w:pPr>
              <w:spacing w:after="0" w:line="264" w:lineRule="auto"/>
            </w:pPr>
            <w:r/>
            <w:r>
              <w:rPr>
                <w:rFonts w:ascii="Calibri" w:hAnsi="Calibri"/>
                <w:b w:val="0"/>
                <w:sz w:val="18"/>
              </w:rPr>
              <w:t>Human review required</w:t>
            </w:r>
          </w:p>
        </w:tc>
        <w:tc>
          <w:tcPr>
            <w:tcW w:type="dxa" w:w="4392"/>
            <w:vAlign w:val="center"/>
            <w:tcMar>
              <w:top w:w="80" w:type="dxa"/>
              <w:start w:w="120" w:type="dxa"/>
              <w:bottom w:w="80" w:type="dxa"/>
              <w:end w:w="120" w:type="dxa"/>
            </w:tcMar>
            <w:shd w:fill="E8EEF5"/>
          </w:tcPr>
          <w:p>
            <w:pPr>
              <w:spacing w:after="0" w:line="264" w:lineRule="auto"/>
            </w:pPr>
            <w:r/>
            <w:r>
              <w:rPr>
                <w:rFonts w:ascii="Calibri" w:hAnsi="Calibri"/>
                <w:b w:val="0"/>
                <w:sz w:val="18"/>
              </w:rPr>
              <w:t>Policy, category or identity issue exceeds the rule set.</w:t>
            </w:r>
          </w:p>
        </w:tc>
        <w:tc>
          <w:tcPr>
            <w:tcW w:type="dxa" w:w="2736"/>
            <w:vAlign w:val="center"/>
            <w:tcMar>
              <w:top w:w="80" w:type="dxa"/>
              <w:start w:w="120" w:type="dxa"/>
              <w:bottom w:w="80" w:type="dxa"/>
              <w:end w:w="120" w:type="dxa"/>
            </w:tcMar>
            <w:shd w:fill="E8EEF5"/>
          </w:tcPr>
          <w:p>
            <w:pPr>
              <w:spacing w:after="0" w:line="264" w:lineRule="auto"/>
            </w:pPr>
            <w:r/>
            <w:r>
              <w:rPr>
                <w:rFonts w:ascii="Calibri" w:hAnsi="Calibri"/>
                <w:b w:val="0"/>
                <w:sz w:val="18"/>
              </w:rPr>
              <w:t>No category added pending decision.</w:t>
            </w:r>
          </w:p>
        </w:tc>
      </w:tr>
    </w:tbl>
    <w:p>
      <w:pPr>
        <w:widowControl/>
        <w:spacing w:after="40"/>
      </w:pPr>
    </w:p>
    <w:p>
      <w:pPr>
        <w:pStyle w:val="Heading2"/>
        <w:widowControl/>
      </w:pPr>
      <w:r>
        <w:t>12.1 Decision sequence</w:t>
      </w:r>
    </w:p>
    <w:p>
      <w:pPr>
        <w:pStyle w:val="ListNumber"/>
        <w:widowControl/>
      </w:pPr>
      <w:r>
        <w:t>Is identity confirmed? If no, stop with Identity unresolved or Identity review required.</w:t>
      </w:r>
    </w:p>
    <w:p>
      <w:pPr>
        <w:pStyle w:val="ListNumber"/>
        <w:widowControl/>
      </w:pPr>
      <w:r>
        <w:t>Is the underlying source accessible and examined? If no, use Source unavailable.</w:t>
      </w:r>
    </w:p>
    <w:p>
      <w:pPr>
        <w:pStyle w:val="ListNumber"/>
        <w:widowControl/>
      </w:pPr>
      <w:r>
        <w:t>Is the statement attributable to the performer or clearly authorised? If no, use Unsupported claim or Additional evidence required.</w:t>
      </w:r>
    </w:p>
    <w:p>
      <w:pPr>
        <w:pStyle w:val="ListNumber"/>
        <w:widowControl/>
      </w:pPr>
      <w:r>
        <w:t>Does it concern the performer personally? If no, reject.</w:t>
      </w:r>
    </w:p>
    <w:p>
      <w:pPr>
        <w:pStyle w:val="ListNumber"/>
        <w:widowControl/>
      </w:pPr>
      <w:r>
        <w:t>Does it meet a controlled category definition without inference? If no, use Ambiguous evidence or Unsupported claim.</w:t>
      </w:r>
    </w:p>
    <w:p>
      <w:pPr>
        <w:pStyle w:val="ListNumber"/>
        <w:widowControl/>
      </w:pPr>
      <w:r>
        <w:t>Create a Proposed confirmation and evidence record.</w:t>
      </w:r>
    </w:p>
    <w:p>
      <w:pPr>
        <w:pStyle w:val="ListNumber"/>
        <w:widowControl/>
      </w:pPr>
      <w:r>
        <w:t>Run independent verification.</w:t>
      </w:r>
    </w:p>
    <w:p>
      <w:pPr>
        <w:pStyle w:val="ListNumber"/>
        <w:widowControl/>
      </w:pPr>
      <w:r>
        <w:t>Add only Verified findings to the master register.</w:t>
      </w:r>
    </w:p>
    <w:p>
      <w:pPr>
        <w:pStyle w:val="Heading1"/>
        <w:widowControl/>
      </w:pPr>
      <w:r>
        <w:t>13. Evidence recording standard</w:t>
      </w:r>
    </w:p>
    <w:p>
      <w:pPr>
        <w:pStyle w:val="Heading2"/>
        <w:widowControl/>
      </w:pPr>
      <w:r>
        <w:t>13.1 Evidence summary</w:t>
      </w:r>
    </w:p>
    <w:p>
      <w:pPr>
        <w:widowControl/>
      </w:pPr>
      <w:r>
        <w:t>Write a neutral, concise summary stating what the performer disclosed, how it supports the category and any relevant qualifier. Do not embellish, interpret motivation or add medical explanation not present in the source.</w:t>
      </w:r>
    </w:p>
    <w:p>
      <w:pPr>
        <w:pStyle w:val="Heading2"/>
        <w:widowControl/>
      </w:pPr>
      <w:r>
        <w:t>13.2 Supporting quotation</w:t>
      </w:r>
    </w:p>
    <w:p>
      <w:pPr>
        <w:pStyle w:val="ListBullet"/>
        <w:widowControl/>
      </w:pPr>
      <w:r>
        <w:t>Quote only the minimum words necessary to demonstrate the disclosure.</w:t>
      </w:r>
    </w:p>
    <w:p>
      <w:pPr>
        <w:pStyle w:val="ListBullet"/>
        <w:widowControl/>
      </w:pPr>
      <w:r>
        <w:t>Preserve meaning, qualification and negation.</w:t>
      </w:r>
    </w:p>
    <w:p>
      <w:pPr>
        <w:pStyle w:val="ListBullet"/>
        <w:widowControl/>
      </w:pPr>
      <w:r>
        <w:t>Use ellipses only when they do not change meaning.</w:t>
      </w:r>
    </w:p>
    <w:p>
      <w:pPr>
        <w:pStyle w:val="ListBullet"/>
        <w:widowControl/>
      </w:pPr>
      <w:r>
        <w:t>Do not combine non-contiguous fragments as if they were one sentence.</w:t>
      </w:r>
    </w:p>
    <w:p>
      <w:pPr>
        <w:pStyle w:val="ListBullet"/>
        <w:widowControl/>
      </w:pPr>
      <w:r>
        <w:t>Respect copyright limits and source-specific quotation restrictions.</w:t>
      </w:r>
    </w:p>
    <w:p>
      <w:pPr>
        <w:pStyle w:val="ListBullet"/>
        <w:widowControl/>
      </w:pPr>
      <w:r>
        <w:t>For audio or video, record the timestamp where practical.</w:t>
      </w:r>
    </w:p>
    <w:p>
      <w:pPr>
        <w:pStyle w:val="Heading2"/>
        <w:widowControl/>
      </w:pPr>
      <w:r>
        <w:t>13.3 Required provenance</w:t>
      </w:r>
    </w:p>
    <w:p>
      <w:pPr>
        <w:pStyle w:val="ListBullet"/>
        <w:widowControl/>
      </w:pPr>
      <w:r>
        <w:t>Direct source URL.</w:t>
      </w:r>
    </w:p>
    <w:p>
      <w:pPr>
        <w:pStyle w:val="ListBullet"/>
        <w:widowControl/>
      </w:pPr>
      <w:r>
        <w:t>Source title and publisher/platform.</w:t>
      </w:r>
    </w:p>
    <w:p>
      <w:pPr>
        <w:pStyle w:val="ListBullet"/>
        <w:widowControl/>
      </w:pPr>
      <w:r>
        <w:t>Source type.</w:t>
      </w:r>
    </w:p>
    <w:p>
      <w:pPr>
        <w:pStyle w:val="ListBullet"/>
        <w:widowControl/>
      </w:pPr>
      <w:r>
        <w:t>Publication or disclosure date where available.</w:t>
      </w:r>
    </w:p>
    <w:p>
      <w:pPr>
        <w:pStyle w:val="ListBullet"/>
        <w:widowControl/>
      </w:pPr>
      <w:r>
        <w:t>Access date.</w:t>
      </w:r>
    </w:p>
    <w:p>
      <w:pPr>
        <w:pStyle w:val="ListBullet"/>
        <w:widowControl/>
      </w:pPr>
      <w:r>
        <w:t>Whether the original source was available.</w:t>
      </w:r>
    </w:p>
    <w:p>
      <w:pPr>
        <w:pStyle w:val="ListBullet"/>
        <w:widowControl/>
      </w:pPr>
      <w:r>
        <w:t>Identity confirmation basis.</w:t>
      </w:r>
    </w:p>
    <w:p>
      <w:pPr>
        <w:pStyle w:val="ListBullet"/>
        <w:widowControl/>
      </w:pPr>
      <w:r>
        <w:t>Evidence and verification status.</w:t>
      </w:r>
    </w:p>
    <w:p>
      <w:pPr>
        <w:pStyle w:val="ListBullet"/>
        <w:widowControl/>
      </w:pPr>
      <w:r>
        <w:t>Researcher and verifier notes sufficient to reproduce the decision.</w:t>
      </w:r>
    </w:p>
    <w:p>
      <w:pPr>
        <w:pStyle w:val="Heading2"/>
        <w:widowControl/>
      </w:pPr>
      <w:r>
        <w:t>13.4 Researcher confidence</w:t>
      </w:r>
    </w:p>
    <w:p>
      <w:pPr>
        <w:widowControl/>
      </w:pPr>
      <w:r>
        <w:t>High, Medium and Low describe the researcher’s assessment of clarity; they do not change the evidence threshold. A Low-confidence finding cannot be made Verified merely because a verifier agrees with the researcher’s intuition.</w:t>
      </w:r>
    </w:p>
    <w:p>
      <w:pPr>
        <w:pStyle w:val="Heading1"/>
        <w:widowControl/>
      </w:pPr>
      <w:r>
        <w:t>14. Identity and evidence examples</w:t>
      </w:r>
    </w:p>
    <w:tbl>
      <w:tblPr>
        <w:tblW w:type="dxa" w:w="9360"/>
        <w:jc w:val="center"/>
        <w:tblLayout w:type="fixed"/>
        <w:tblLook w:firstColumn="1" w:firstRow="1" w:lastColumn="0" w:lastRow="0" w:noHBand="0" w:noVBand="1" w:val="04A0"/>
      </w:tblPr>
      <w:tblGrid>
        <w:gridCol w:w="3264"/>
        <w:gridCol w:w="3264"/>
        <w:gridCol w:w="3264"/>
      </w:tblGrid>
      <w:tr>
        <w:trPr>
          <w:tblHeader/>
        </w:trPr>
        <w:tc>
          <w:tcPr>
            <w:tcW w:type="dxa" w:w="396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Scenario</w:t>
            </w:r>
          </w:p>
        </w:tc>
        <w:tc>
          <w:tcPr>
            <w:tcW w:type="dxa" w:w="216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Decision</w:t>
            </w:r>
          </w:p>
        </w:tc>
        <w:tc>
          <w:tcPr>
            <w:tcW w:type="dxa" w:w="324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Reason</w:t>
            </w:r>
          </w:p>
        </w:tc>
      </w:tr>
      <w:tr>
        <w:trPr/>
        <w:tc>
          <w:tcPr>
            <w:tcW w:type="dxa" w:w="3960"/>
            <w:vAlign w:val="center"/>
            <w:tcMar>
              <w:top w:w="80" w:type="dxa"/>
              <w:start w:w="120" w:type="dxa"/>
              <w:bottom w:w="80" w:type="dxa"/>
              <w:end w:w="120" w:type="dxa"/>
            </w:tcMar>
            <w:shd w:fill="E8EEF5"/>
          </w:tcPr>
          <w:p>
            <w:pPr>
              <w:spacing w:after="0" w:line="264" w:lineRule="auto"/>
            </w:pPr>
            <w:r/>
            <w:r>
              <w:rPr>
                <w:rFonts w:ascii="Calibri" w:hAnsi="Calibri"/>
                <w:b w:val="0"/>
                <w:sz w:val="18"/>
              </w:rPr>
              <w:t>A performer says in a podcast, “I am dyslexic.” Identity and episode are confirmed.</w:t>
            </w:r>
          </w:p>
        </w:tc>
        <w:tc>
          <w:tcPr>
            <w:tcW w:type="dxa" w:w="2160"/>
            <w:vAlign w:val="center"/>
            <w:tcMar>
              <w:top w:w="80" w:type="dxa"/>
              <w:start w:w="120" w:type="dxa"/>
              <w:bottom w:w="80" w:type="dxa"/>
              <w:end w:w="120" w:type="dxa"/>
            </w:tcMar>
            <w:shd w:fill="E8EEF5"/>
          </w:tcPr>
          <w:p>
            <w:pPr>
              <w:spacing w:after="0" w:line="264" w:lineRule="auto"/>
            </w:pPr>
            <w:r/>
            <w:r>
              <w:rPr>
                <w:rFonts w:ascii="Calibri" w:hAnsi="Calibri"/>
                <w:b w:val="0"/>
                <w:sz w:val="18"/>
              </w:rPr>
              <w:t>Propose Neurodivergent.</w:t>
            </w:r>
          </w:p>
        </w:tc>
        <w:tc>
          <w:tcPr>
            <w:tcW w:type="dxa" w:w="3240"/>
            <w:vAlign w:val="center"/>
            <w:tcMar>
              <w:top w:w="80" w:type="dxa"/>
              <w:start w:w="120" w:type="dxa"/>
              <w:bottom w:w="80" w:type="dxa"/>
              <w:end w:w="120" w:type="dxa"/>
            </w:tcMar>
            <w:shd w:fill="E8EEF5"/>
          </w:tcPr>
          <w:p>
            <w:pPr>
              <w:spacing w:after="0" w:line="264" w:lineRule="auto"/>
            </w:pPr>
            <w:r/>
            <w:r>
              <w:rPr>
                <w:rFonts w:ascii="Calibri" w:hAnsi="Calibri"/>
                <w:b w:val="0"/>
                <w:sz w:val="18"/>
              </w:rPr>
              <w:t>Direct first-person statement.</w:t>
            </w:r>
          </w:p>
        </w:tc>
      </w:tr>
      <w:tr>
        <w:trPr/>
        <w:tc>
          <w:tcPr>
            <w:tcW w:type="dxa" w:w="3960"/>
            <w:vAlign w:val="center"/>
            <w:tcMar>
              <w:top w:w="80" w:type="dxa"/>
              <w:start w:w="120" w:type="dxa"/>
              <w:bottom w:w="80" w:type="dxa"/>
              <w:end w:w="120" w:type="dxa"/>
            </w:tcMar>
            <w:shd w:fill="FFFFFF"/>
          </w:tcPr>
          <w:p>
            <w:pPr>
              <w:spacing w:after="0" w:line="264" w:lineRule="auto"/>
            </w:pPr>
            <w:r/>
            <w:r>
              <w:rPr>
                <w:rFonts w:ascii="Calibri" w:hAnsi="Calibri"/>
                <w:b w:val="0"/>
                <w:sz w:val="18"/>
              </w:rPr>
              <w:t>An authorised agency profile says an actor is a wheelchair user.</w:t>
            </w:r>
          </w:p>
        </w:tc>
        <w:tc>
          <w:tcPr>
            <w:tcW w:type="dxa" w:w="2160"/>
            <w:vAlign w:val="center"/>
            <w:tcMar>
              <w:top w:w="80" w:type="dxa"/>
              <w:start w:w="120" w:type="dxa"/>
              <w:bottom w:w="80" w:type="dxa"/>
              <w:end w:w="120" w:type="dxa"/>
            </w:tcMar>
            <w:shd w:fill="FFFFFF"/>
          </w:tcPr>
          <w:p>
            <w:pPr>
              <w:spacing w:after="0" w:line="264" w:lineRule="auto"/>
            </w:pPr>
            <w:r/>
            <w:r>
              <w:rPr>
                <w:rFonts w:ascii="Calibri" w:hAnsi="Calibri"/>
                <w:b w:val="0"/>
                <w:sz w:val="18"/>
              </w:rPr>
              <w:t>May propose Wheelchair user.</w:t>
            </w:r>
          </w:p>
        </w:tc>
        <w:tc>
          <w:tcPr>
            <w:tcW w:type="dxa" w:w="3240"/>
            <w:vAlign w:val="center"/>
            <w:tcMar>
              <w:top w:w="80" w:type="dxa"/>
              <w:start w:w="120" w:type="dxa"/>
              <w:bottom w:w="80" w:type="dxa"/>
              <w:end w:w="120" w:type="dxa"/>
            </w:tcMar>
            <w:shd w:fill="FFFFFF"/>
          </w:tcPr>
          <w:p>
            <w:pPr>
              <w:spacing w:after="0" w:line="264" w:lineRule="auto"/>
            </w:pPr>
            <w:r/>
            <w:r>
              <w:rPr>
                <w:rFonts w:ascii="Calibri" w:hAnsi="Calibri"/>
                <w:b w:val="0"/>
                <w:sz w:val="18"/>
              </w:rPr>
              <w:t>Authorised identity-specific biography; verify authorisation and identity.</w:t>
            </w:r>
          </w:p>
        </w:tc>
      </w:tr>
      <w:tr>
        <w:trPr/>
        <w:tc>
          <w:tcPr>
            <w:tcW w:type="dxa" w:w="3960"/>
            <w:vAlign w:val="center"/>
            <w:tcMar>
              <w:top w:w="80" w:type="dxa"/>
              <w:start w:w="120" w:type="dxa"/>
              <w:bottom w:w="80" w:type="dxa"/>
              <w:end w:w="120" w:type="dxa"/>
            </w:tcMar>
            <w:shd w:fill="E8EEF5"/>
          </w:tcPr>
          <w:p>
            <w:pPr>
              <w:spacing w:after="0" w:line="264" w:lineRule="auto"/>
            </w:pPr>
            <w:r/>
            <w:r>
              <w:rPr>
                <w:rFonts w:ascii="Calibri" w:hAnsi="Calibri"/>
                <w:b w:val="0"/>
                <w:sz w:val="18"/>
              </w:rPr>
              <w:t>A newspaper calls an actor autistic but provides no quotation.</w:t>
            </w:r>
          </w:p>
        </w:tc>
        <w:tc>
          <w:tcPr>
            <w:tcW w:type="dxa" w:w="2160"/>
            <w:vAlign w:val="center"/>
            <w:tcMar>
              <w:top w:w="80" w:type="dxa"/>
              <w:start w:w="120" w:type="dxa"/>
              <w:bottom w:w="80" w:type="dxa"/>
              <w:end w:w="120" w:type="dxa"/>
            </w:tcMar>
            <w:shd w:fill="E8EEF5"/>
          </w:tcPr>
          <w:p>
            <w:pPr>
              <w:spacing w:after="0" w:line="264" w:lineRule="auto"/>
            </w:pPr>
            <w:r/>
            <w:r>
              <w:rPr>
                <w:rFonts w:ascii="Calibri" w:hAnsi="Calibri"/>
                <w:b w:val="0"/>
                <w:sz w:val="18"/>
              </w:rPr>
              <w:t>Unsupported claim.</w:t>
            </w:r>
          </w:p>
        </w:tc>
        <w:tc>
          <w:tcPr>
            <w:tcW w:type="dxa" w:w="3240"/>
            <w:vAlign w:val="center"/>
            <w:tcMar>
              <w:top w:w="80" w:type="dxa"/>
              <w:start w:w="120" w:type="dxa"/>
              <w:bottom w:w="80" w:type="dxa"/>
              <w:end w:w="120" w:type="dxa"/>
            </w:tcMar>
            <w:shd w:fill="E8EEF5"/>
          </w:tcPr>
          <w:p>
            <w:pPr>
              <w:spacing w:after="0" w:line="264" w:lineRule="auto"/>
            </w:pPr>
            <w:r/>
            <w:r>
              <w:rPr>
                <w:rFonts w:ascii="Calibri" w:hAnsi="Calibri"/>
                <w:b w:val="0"/>
                <w:sz w:val="18"/>
              </w:rPr>
              <w:t>Third-party label is not self-disclosure.</w:t>
            </w:r>
          </w:p>
        </w:tc>
      </w:tr>
      <w:tr>
        <w:trPr/>
        <w:tc>
          <w:tcPr>
            <w:tcW w:type="dxa" w:w="3960"/>
            <w:vAlign w:val="center"/>
            <w:tcMar>
              <w:top w:w="80" w:type="dxa"/>
              <w:start w:w="120" w:type="dxa"/>
              <w:bottom w:w="80" w:type="dxa"/>
              <w:end w:w="120" w:type="dxa"/>
            </w:tcMar>
            <w:shd w:fill="FFFFFF"/>
          </w:tcPr>
          <w:p>
            <w:pPr>
              <w:spacing w:after="0" w:line="264" w:lineRule="auto"/>
            </w:pPr>
            <w:r/>
            <w:r>
              <w:rPr>
                <w:rFonts w:ascii="Calibri" w:hAnsi="Calibri"/>
                <w:b w:val="0"/>
                <w:sz w:val="18"/>
              </w:rPr>
              <w:t>An actor plays a blind character and discusses learning cane technique.</w:t>
            </w:r>
          </w:p>
        </w:tc>
        <w:tc>
          <w:tcPr>
            <w:tcW w:type="dxa" w:w="2160"/>
            <w:vAlign w:val="center"/>
            <w:tcMar>
              <w:top w:w="80" w:type="dxa"/>
              <w:start w:w="120" w:type="dxa"/>
              <w:bottom w:w="80" w:type="dxa"/>
              <w:end w:w="120" w:type="dxa"/>
            </w:tcMar>
            <w:shd w:fill="FFFFFF"/>
          </w:tcPr>
          <w:p>
            <w:pPr>
              <w:spacing w:after="0" w:line="264" w:lineRule="auto"/>
            </w:pPr>
            <w:r/>
            <w:r>
              <w:rPr>
                <w:rFonts w:ascii="Calibri" w:hAnsi="Calibri"/>
                <w:b w:val="0"/>
                <w:sz w:val="18"/>
              </w:rPr>
              <w:t>Do not classify.</w:t>
            </w:r>
          </w:p>
        </w:tc>
        <w:tc>
          <w:tcPr>
            <w:tcW w:type="dxa" w:w="3240"/>
            <w:vAlign w:val="center"/>
            <w:tcMar>
              <w:top w:w="80" w:type="dxa"/>
              <w:start w:w="120" w:type="dxa"/>
              <w:bottom w:w="80" w:type="dxa"/>
              <w:end w:w="120" w:type="dxa"/>
            </w:tcMar>
            <w:shd w:fill="FFFFFF"/>
          </w:tcPr>
          <w:p>
            <w:pPr>
              <w:spacing w:after="0" w:line="264" w:lineRule="auto"/>
            </w:pPr>
            <w:r/>
            <w:r>
              <w:rPr>
                <w:rFonts w:ascii="Calibri" w:hAnsi="Calibri"/>
                <w:b w:val="0"/>
                <w:sz w:val="18"/>
              </w:rPr>
              <w:t>Role and preparation concern the character, not personal identity.</w:t>
            </w:r>
          </w:p>
        </w:tc>
      </w:tr>
      <w:tr>
        <w:trPr/>
        <w:tc>
          <w:tcPr>
            <w:tcW w:type="dxa" w:w="3960"/>
            <w:vAlign w:val="center"/>
            <w:tcMar>
              <w:top w:w="80" w:type="dxa"/>
              <w:start w:w="120" w:type="dxa"/>
              <w:bottom w:w="80" w:type="dxa"/>
              <w:end w:w="120" w:type="dxa"/>
            </w:tcMar>
            <w:shd w:fill="E8EEF5"/>
          </w:tcPr>
          <w:p>
            <w:pPr>
              <w:spacing w:after="0" w:line="264" w:lineRule="auto"/>
            </w:pPr>
            <w:r/>
            <w:r>
              <w:rPr>
                <w:rFonts w:ascii="Calibri" w:hAnsi="Calibri"/>
                <w:b w:val="0"/>
                <w:sz w:val="18"/>
              </w:rPr>
              <w:t>A performer says, “People have suggested I might have ADHD.”</w:t>
            </w:r>
          </w:p>
        </w:tc>
        <w:tc>
          <w:tcPr>
            <w:tcW w:type="dxa" w:w="2160"/>
            <w:vAlign w:val="center"/>
            <w:tcMar>
              <w:top w:w="80" w:type="dxa"/>
              <w:start w:w="120" w:type="dxa"/>
              <w:bottom w:w="80" w:type="dxa"/>
              <w:end w:w="120" w:type="dxa"/>
            </w:tcMar>
            <w:shd w:fill="E8EEF5"/>
          </w:tcPr>
          <w:p>
            <w:pPr>
              <w:spacing w:after="0" w:line="264" w:lineRule="auto"/>
            </w:pPr>
            <w:r/>
            <w:r>
              <w:rPr>
                <w:rFonts w:ascii="Calibri" w:hAnsi="Calibri"/>
                <w:b w:val="0"/>
                <w:sz w:val="18"/>
              </w:rPr>
              <w:t>Ambiguous evidence.</w:t>
            </w:r>
          </w:p>
        </w:tc>
        <w:tc>
          <w:tcPr>
            <w:tcW w:type="dxa" w:w="3240"/>
            <w:vAlign w:val="center"/>
            <w:tcMar>
              <w:top w:w="80" w:type="dxa"/>
              <w:start w:w="120" w:type="dxa"/>
              <w:bottom w:w="80" w:type="dxa"/>
              <w:end w:w="120" w:type="dxa"/>
            </w:tcMar>
            <w:shd w:fill="E8EEF5"/>
          </w:tcPr>
          <w:p>
            <w:pPr>
              <w:spacing w:after="0" w:line="264" w:lineRule="auto"/>
            </w:pPr>
            <w:r/>
            <w:r>
              <w:rPr>
                <w:rFonts w:ascii="Calibri" w:hAnsi="Calibri"/>
                <w:b w:val="0"/>
                <w:sz w:val="18"/>
              </w:rPr>
              <w:t>Tentative third-party suggestion, not adopted identity.</w:t>
            </w:r>
          </w:p>
        </w:tc>
      </w:tr>
      <w:tr>
        <w:trPr/>
        <w:tc>
          <w:tcPr>
            <w:tcW w:type="dxa" w:w="3960"/>
            <w:vAlign w:val="center"/>
            <w:tcMar>
              <w:top w:w="80" w:type="dxa"/>
              <w:start w:w="120" w:type="dxa"/>
              <w:bottom w:w="80" w:type="dxa"/>
              <w:end w:w="120" w:type="dxa"/>
            </w:tcMar>
            <w:shd w:fill="FFFFFF"/>
          </w:tcPr>
          <w:p>
            <w:pPr>
              <w:spacing w:after="0" w:line="264" w:lineRule="auto"/>
            </w:pPr>
            <w:r/>
            <w:r>
              <w:rPr>
                <w:rFonts w:ascii="Calibri" w:hAnsi="Calibri"/>
                <w:b w:val="0"/>
                <w:sz w:val="18"/>
              </w:rPr>
              <w:t>An actor says, “I am self-diagnosed autistic.”</w:t>
            </w:r>
          </w:p>
        </w:tc>
        <w:tc>
          <w:tcPr>
            <w:tcW w:type="dxa" w:w="2160"/>
            <w:vAlign w:val="center"/>
            <w:tcMar>
              <w:top w:w="80" w:type="dxa"/>
              <w:start w:w="120" w:type="dxa"/>
              <w:bottom w:w="80" w:type="dxa"/>
              <w:end w:w="120" w:type="dxa"/>
            </w:tcMar>
            <w:shd w:fill="FFFFFF"/>
          </w:tcPr>
          <w:p>
            <w:pPr>
              <w:spacing w:after="0" w:line="264" w:lineRule="auto"/>
            </w:pPr>
            <w:r/>
            <w:r>
              <w:rPr>
                <w:rFonts w:ascii="Calibri" w:hAnsi="Calibri"/>
                <w:b w:val="0"/>
                <w:sz w:val="18"/>
              </w:rPr>
              <w:t>May propose Neurodivergent with qualifier.</w:t>
            </w:r>
          </w:p>
        </w:tc>
        <w:tc>
          <w:tcPr>
            <w:tcW w:type="dxa" w:w="3240"/>
            <w:vAlign w:val="center"/>
            <w:tcMar>
              <w:top w:w="80" w:type="dxa"/>
              <w:start w:w="120" w:type="dxa"/>
              <w:bottom w:w="80" w:type="dxa"/>
              <w:end w:w="120" w:type="dxa"/>
            </w:tcMar>
            <w:shd w:fill="FFFFFF"/>
          </w:tcPr>
          <w:p>
            <w:pPr>
              <w:spacing w:after="0" w:line="264" w:lineRule="auto"/>
            </w:pPr>
            <w:r/>
            <w:r>
              <w:rPr>
                <w:rFonts w:ascii="Calibri" w:hAnsi="Calibri"/>
                <w:b w:val="0"/>
                <w:sz w:val="18"/>
              </w:rPr>
              <w:t>Explicit self-identification; preserve self-diagnosed status.</w:t>
            </w:r>
          </w:p>
        </w:tc>
      </w:tr>
      <w:tr>
        <w:trPr/>
        <w:tc>
          <w:tcPr>
            <w:tcW w:type="dxa" w:w="3960"/>
            <w:vAlign w:val="center"/>
            <w:tcMar>
              <w:top w:w="80" w:type="dxa"/>
              <w:start w:w="120" w:type="dxa"/>
              <w:bottom w:w="80" w:type="dxa"/>
              <w:end w:w="120" w:type="dxa"/>
            </w:tcMar>
            <w:shd w:fill="E8EEF5"/>
          </w:tcPr>
          <w:p>
            <w:pPr>
              <w:spacing w:after="0" w:line="264" w:lineRule="auto"/>
            </w:pPr>
            <w:r/>
            <w:r>
              <w:rPr>
                <w:rFonts w:ascii="Calibri" w:hAnsi="Calibri"/>
                <w:b w:val="0"/>
                <w:sz w:val="18"/>
              </w:rPr>
              <w:t>An athlete competes in wheelchair racing but does not identify as a wheelchair user.</w:t>
            </w:r>
          </w:p>
        </w:tc>
        <w:tc>
          <w:tcPr>
            <w:tcW w:type="dxa" w:w="2160"/>
            <w:vAlign w:val="center"/>
            <w:tcMar>
              <w:top w:w="80" w:type="dxa"/>
              <w:start w:w="120" w:type="dxa"/>
              <w:bottom w:w="80" w:type="dxa"/>
              <w:end w:w="120" w:type="dxa"/>
            </w:tcMar>
            <w:shd w:fill="E8EEF5"/>
          </w:tcPr>
          <w:p>
            <w:pPr>
              <w:spacing w:after="0" w:line="264" w:lineRule="auto"/>
            </w:pPr>
            <w:r/>
            <w:r>
              <w:rPr>
                <w:rFonts w:ascii="Calibri" w:hAnsi="Calibri"/>
                <w:b w:val="0"/>
                <w:sz w:val="18"/>
              </w:rPr>
              <w:t>Do not classify as Wheelchair user.</w:t>
            </w:r>
          </w:p>
        </w:tc>
        <w:tc>
          <w:tcPr>
            <w:tcW w:type="dxa" w:w="3240"/>
            <w:vAlign w:val="center"/>
            <w:tcMar>
              <w:top w:w="80" w:type="dxa"/>
              <w:start w:w="120" w:type="dxa"/>
              <w:bottom w:w="80" w:type="dxa"/>
              <w:end w:w="120" w:type="dxa"/>
            </w:tcMar>
            <w:shd w:fill="E8EEF5"/>
          </w:tcPr>
          <w:p>
            <w:pPr>
              <w:spacing w:after="0" w:line="264" w:lineRule="auto"/>
            </w:pPr>
            <w:r/>
            <w:r>
              <w:rPr>
                <w:rFonts w:ascii="Calibri" w:hAnsi="Calibri"/>
                <w:b w:val="0"/>
                <w:sz w:val="18"/>
              </w:rPr>
              <w:t>Sport participation is not an identity statement.</w:t>
            </w:r>
          </w:p>
        </w:tc>
      </w:tr>
      <w:tr>
        <w:trPr/>
        <w:tc>
          <w:tcPr>
            <w:tcW w:type="dxa" w:w="3960"/>
            <w:vAlign w:val="center"/>
            <w:tcMar>
              <w:top w:w="80" w:type="dxa"/>
              <w:start w:w="120" w:type="dxa"/>
              <w:bottom w:w="80" w:type="dxa"/>
              <w:end w:w="120" w:type="dxa"/>
            </w:tcMar>
            <w:shd w:fill="FFFFFF"/>
          </w:tcPr>
          <w:p>
            <w:pPr>
              <w:spacing w:after="0" w:line="264" w:lineRule="auto"/>
            </w:pPr>
            <w:r/>
            <w:r>
              <w:rPr>
                <w:rFonts w:ascii="Calibri" w:hAnsi="Calibri"/>
                <w:b w:val="0"/>
                <w:sz w:val="18"/>
              </w:rPr>
              <w:t>A performer appears in a directory representing both disabled and non-disabled talent.</w:t>
            </w:r>
          </w:p>
        </w:tc>
        <w:tc>
          <w:tcPr>
            <w:tcW w:type="dxa" w:w="2160"/>
            <w:vAlign w:val="center"/>
            <w:tcMar>
              <w:top w:w="80" w:type="dxa"/>
              <w:start w:w="120" w:type="dxa"/>
              <w:bottom w:w="80" w:type="dxa"/>
              <w:end w:w="120" w:type="dxa"/>
            </w:tcMar>
            <w:shd w:fill="FFFFFF"/>
          </w:tcPr>
          <w:p>
            <w:pPr>
              <w:spacing w:after="0" w:line="264" w:lineRule="auto"/>
            </w:pPr>
            <w:r/>
            <w:r>
              <w:rPr>
                <w:rFonts w:ascii="Calibri" w:hAnsi="Calibri"/>
                <w:b w:val="0"/>
                <w:sz w:val="18"/>
              </w:rPr>
              <w:t>Research lead only.</w:t>
            </w:r>
          </w:p>
        </w:tc>
        <w:tc>
          <w:tcPr>
            <w:tcW w:type="dxa" w:w="3240"/>
            <w:vAlign w:val="center"/>
            <w:tcMar>
              <w:top w:w="80" w:type="dxa"/>
              <w:start w:w="120" w:type="dxa"/>
              <w:bottom w:w="80" w:type="dxa"/>
              <w:end w:w="120" w:type="dxa"/>
            </w:tcMar>
            <w:shd w:fill="FFFFFF"/>
          </w:tcPr>
          <w:p>
            <w:pPr>
              <w:spacing w:after="0" w:line="264" w:lineRule="auto"/>
            </w:pPr>
            <w:r/>
            <w:r>
              <w:rPr>
                <w:rFonts w:ascii="Calibri" w:hAnsi="Calibri"/>
                <w:b w:val="0"/>
                <w:sz w:val="18"/>
              </w:rPr>
              <w:t>Membership does not establish disability.</w:t>
            </w:r>
          </w:p>
        </w:tc>
      </w:tr>
      <w:tr>
        <w:trPr/>
        <w:tc>
          <w:tcPr>
            <w:tcW w:type="dxa" w:w="3960"/>
            <w:vAlign w:val="center"/>
            <w:tcMar>
              <w:top w:w="80" w:type="dxa"/>
              <w:start w:w="120" w:type="dxa"/>
              <w:bottom w:w="80" w:type="dxa"/>
              <w:end w:w="120" w:type="dxa"/>
            </w:tcMar>
            <w:shd w:fill="E8EEF5"/>
          </w:tcPr>
          <w:p>
            <w:pPr>
              <w:spacing w:after="0" w:line="264" w:lineRule="auto"/>
            </w:pPr>
            <w:r/>
            <w:r>
              <w:rPr>
                <w:rFonts w:ascii="Calibri" w:hAnsi="Calibri"/>
                <w:b w:val="0"/>
                <w:sz w:val="18"/>
              </w:rPr>
              <w:t>A source name matches, but its credits belong to a different person.</w:t>
            </w:r>
          </w:p>
        </w:tc>
        <w:tc>
          <w:tcPr>
            <w:tcW w:type="dxa" w:w="2160"/>
            <w:vAlign w:val="center"/>
            <w:tcMar>
              <w:top w:w="80" w:type="dxa"/>
              <w:start w:w="120" w:type="dxa"/>
              <w:bottom w:w="80" w:type="dxa"/>
              <w:end w:w="120" w:type="dxa"/>
            </w:tcMar>
            <w:shd w:fill="E8EEF5"/>
          </w:tcPr>
          <w:p>
            <w:pPr>
              <w:spacing w:after="0" w:line="264" w:lineRule="auto"/>
            </w:pPr>
            <w:r/>
            <w:r>
              <w:rPr>
                <w:rFonts w:ascii="Calibri" w:hAnsi="Calibri"/>
                <w:b w:val="0"/>
                <w:sz w:val="18"/>
              </w:rPr>
              <w:t>Identity unresolved or namesake conflict.</w:t>
            </w:r>
          </w:p>
        </w:tc>
        <w:tc>
          <w:tcPr>
            <w:tcW w:type="dxa" w:w="3240"/>
            <w:vAlign w:val="center"/>
            <w:tcMar>
              <w:top w:w="80" w:type="dxa"/>
              <w:start w:w="120" w:type="dxa"/>
              <w:bottom w:w="80" w:type="dxa"/>
              <w:end w:w="120" w:type="dxa"/>
            </w:tcMar>
            <w:shd w:fill="E8EEF5"/>
          </w:tcPr>
          <w:p>
            <w:pPr>
              <w:spacing w:after="0" w:line="264" w:lineRule="auto"/>
            </w:pPr>
            <w:r/>
            <w:r>
              <w:rPr>
                <w:rFonts w:ascii="Calibri" w:hAnsi="Calibri"/>
                <w:b w:val="0"/>
                <w:sz w:val="18"/>
              </w:rPr>
              <w:t>Identity must be resolved before disability research.</w:t>
            </w:r>
          </w:p>
        </w:tc>
      </w:tr>
      <w:tr>
        <w:trPr/>
        <w:tc>
          <w:tcPr>
            <w:tcW w:type="dxa" w:w="3960"/>
            <w:vAlign w:val="center"/>
            <w:tcMar>
              <w:top w:w="80" w:type="dxa"/>
              <w:start w:w="120" w:type="dxa"/>
              <w:bottom w:w="80" w:type="dxa"/>
              <w:end w:w="120" w:type="dxa"/>
            </w:tcMar>
            <w:shd w:fill="FFFFFF"/>
          </w:tcPr>
          <w:p>
            <w:pPr>
              <w:spacing w:after="0" w:line="264" w:lineRule="auto"/>
            </w:pPr>
            <w:r/>
            <w:r>
              <w:rPr>
                <w:rFonts w:ascii="Calibri" w:hAnsi="Calibri"/>
                <w:b w:val="0"/>
                <w:sz w:val="18"/>
              </w:rPr>
              <w:t>No relevant disclosure is found after the defined search.</w:t>
            </w:r>
          </w:p>
        </w:tc>
        <w:tc>
          <w:tcPr>
            <w:tcW w:type="dxa" w:w="2160"/>
            <w:vAlign w:val="center"/>
            <w:tcMar>
              <w:top w:w="80" w:type="dxa"/>
              <w:start w:w="120" w:type="dxa"/>
              <w:bottom w:w="80" w:type="dxa"/>
              <w:end w:w="120" w:type="dxa"/>
            </w:tcMar>
            <w:shd w:fill="FFFFFF"/>
          </w:tcPr>
          <w:p>
            <w:pPr>
              <w:spacing w:after="0" w:line="264" w:lineRule="auto"/>
            </w:pPr>
            <w:r/>
            <w:r>
              <w:rPr>
                <w:rFonts w:ascii="Calibri" w:hAnsi="Calibri"/>
                <w:b w:val="0"/>
                <w:sz w:val="18"/>
              </w:rPr>
              <w:t>No qualifying disclosure found.</w:t>
            </w:r>
          </w:p>
        </w:tc>
        <w:tc>
          <w:tcPr>
            <w:tcW w:type="dxa" w:w="3240"/>
            <w:vAlign w:val="center"/>
            <w:tcMar>
              <w:top w:w="80" w:type="dxa"/>
              <w:start w:w="120" w:type="dxa"/>
              <w:bottom w:w="80" w:type="dxa"/>
              <w:end w:w="120" w:type="dxa"/>
            </w:tcMar>
            <w:shd w:fill="FFFFFF"/>
          </w:tcPr>
          <w:p>
            <w:pPr>
              <w:spacing w:after="0" w:line="264" w:lineRule="auto"/>
            </w:pPr>
            <w:r/>
            <w:r>
              <w:rPr>
                <w:rFonts w:ascii="Calibri" w:hAnsi="Calibri"/>
                <w:b w:val="0"/>
                <w:sz w:val="18"/>
              </w:rPr>
              <w:t>Absence of evidence is not evidence of absence.</w:t>
            </w:r>
          </w:p>
        </w:tc>
      </w:tr>
    </w:tbl>
    <w:p>
      <w:pPr>
        <w:widowControl/>
        <w:spacing w:after="40"/>
      </w:pPr>
    </w:p>
    <w:p>
      <w:pPr>
        <w:pStyle w:val="Heading1"/>
        <w:widowControl/>
      </w:pPr>
      <w:r>
        <w:t>15. Workbook conventions</w:t>
      </w:r>
    </w:p>
    <w:p>
      <w:pPr>
        <w:pStyle w:val="Heading2"/>
        <w:widowControl/>
      </w:pPr>
      <w:r>
        <w:t>15.1 Identifiers</w:t>
      </w:r>
    </w:p>
    <w:p>
      <w:pPr>
        <w:pStyle w:val="ListBullet"/>
        <w:widowControl/>
      </w:pPr>
      <w:r>
        <w:t>Valid IMDb identity: Performer ID = PERF-[IMDb Const].</w:t>
      </w:r>
    </w:p>
    <w:p>
      <w:pPr>
        <w:pStyle w:val="ListBullet"/>
        <w:widowControl/>
      </w:pPr>
      <w:r>
        <w:t>Unresolved identity: temporary sequential ID = PERF-REVIEW-0001 and upward.</w:t>
      </w:r>
    </w:p>
    <w:p>
      <w:pPr>
        <w:pStyle w:val="ListBullet"/>
        <w:widowControl/>
      </w:pPr>
      <w:r>
        <w:t>Finding, Evidence, Membership, Review and Change IDs must be stable and unique within the workbook.</w:t>
      </w:r>
    </w:p>
    <w:p>
      <w:pPr>
        <w:pStyle w:val="ListBullet"/>
        <w:widowControl/>
      </w:pPr>
      <w:r>
        <w:t>Never fabricate or repair an IMDb Const without recording the proposed correction.</w:t>
      </w:r>
    </w:p>
    <w:p>
      <w:pPr>
        <w:pStyle w:val="Heading2"/>
        <w:widowControl/>
      </w:pPr>
      <w:r>
        <w:t>15.2 Category fields</w:t>
      </w:r>
    </w:p>
    <w:p>
      <w:pPr>
        <w:pStyle w:val="ListBullet"/>
        <w:widowControl/>
      </w:pPr>
      <w:r>
        <w:t>Use Yes or blank only.</w:t>
      </w:r>
    </w:p>
    <w:p>
      <w:pPr>
        <w:pStyle w:val="ListBullet"/>
        <w:widowControl/>
      </w:pPr>
      <w:r>
        <w:t>Yes means at least one verified finding supports the category.</w:t>
      </w:r>
    </w:p>
    <w:p>
      <w:pPr>
        <w:pStyle w:val="ListBullet"/>
        <w:widowControl/>
      </w:pPr>
      <w:r>
        <w:t>Blank means unconfirmed; it does not mean No.</w:t>
      </w:r>
    </w:p>
    <w:p>
      <w:pPr>
        <w:pStyle w:val="ListBullet"/>
        <w:widowControl/>
      </w:pPr>
      <w:r>
        <w:t>Categories must follow the controlled order 1–11.</w:t>
      </w:r>
    </w:p>
    <w:p>
      <w:pPr>
        <w:pStyle w:val="ListBullet"/>
        <w:widowControl/>
      </w:pPr>
      <w:r>
        <w:t>Category count must equal the number of distinct Yes fields.</w:t>
      </w:r>
    </w:p>
    <w:p>
      <w:pPr>
        <w:pStyle w:val="Heading2"/>
        <w:widowControl/>
      </w:pPr>
      <w:r>
        <w:t>15.3 Provenance values</w:t>
      </w:r>
    </w:p>
    <w:tbl>
      <w:tblPr>
        <w:tblW w:type="dxa" w:w="9360"/>
        <w:jc w:val="center"/>
        <w:tblLayout w:type="fixed"/>
        <w:tblLook w:firstColumn="1" w:firstRow="1" w:lastColumn="0" w:lastRow="0" w:noHBand="0" w:noVBand="1" w:val="04A0"/>
      </w:tblPr>
      <w:tblGrid>
        <w:gridCol w:w="4896"/>
        <w:gridCol w:w="4896"/>
      </w:tblGrid>
      <w:tr>
        <w:trPr>
          <w:tblHeader/>
        </w:trPr>
        <w:tc>
          <w:tcPr>
            <w:tcW w:type="dxa" w:w="3384"/>
            <w:vAlign w:val="center"/>
            <w:tcMar>
              <w:top w:w="80" w:type="dxa"/>
              <w:start w:w="120" w:type="dxa"/>
              <w:bottom w:w="80" w:type="dxa"/>
              <w:end w:w="120" w:type="dxa"/>
            </w:tcMar>
            <w:shd w:fill="2E74B5"/>
          </w:tcPr>
          <w:p>
            <w:pPr>
              <w:spacing w:after="0" w:line="264" w:lineRule="auto"/>
            </w:pPr>
            <w:r/>
            <w:r>
              <w:rPr>
                <w:rFonts w:ascii="Calibri" w:hAnsi="Calibri"/>
                <w:b/>
                <w:color w:val="FFFFFF"/>
                <w:sz w:val="18"/>
              </w:rPr>
              <w:t>Context</w:t>
            </w:r>
          </w:p>
        </w:tc>
        <w:tc>
          <w:tcPr>
            <w:tcW w:type="dxa" w:w="5976"/>
            <w:vAlign w:val="center"/>
            <w:tcMar>
              <w:top w:w="80" w:type="dxa"/>
              <w:start w:w="120" w:type="dxa"/>
              <w:bottom w:w="80" w:type="dxa"/>
              <w:end w:w="120" w:type="dxa"/>
            </w:tcMar>
            <w:shd w:fill="2E74B5"/>
          </w:tcPr>
          <w:p>
            <w:pPr>
              <w:spacing w:after="0" w:line="264" w:lineRule="auto"/>
            </w:pPr>
            <w:r/>
            <w:r>
              <w:rPr>
                <w:rFonts w:ascii="Calibri" w:hAnsi="Calibri"/>
                <w:b/>
                <w:color w:val="FFFFFF"/>
                <w:sz w:val="18"/>
              </w:rPr>
              <w:t>Required provenance</w:t>
            </w:r>
          </w:p>
        </w:tc>
      </w:tr>
      <w:tr>
        <w:trPr/>
        <w:tc>
          <w:tcPr>
            <w:tcW w:type="dxa" w:w="3384"/>
            <w:vAlign w:val="center"/>
            <w:tcMar>
              <w:top w:w="80" w:type="dxa"/>
              <w:start w:w="120" w:type="dxa"/>
              <w:bottom w:w="80" w:type="dxa"/>
              <w:end w:w="120" w:type="dxa"/>
            </w:tcMar>
            <w:shd w:fill="E8EEF5"/>
          </w:tcPr>
          <w:p>
            <w:pPr>
              <w:spacing w:after="0" w:line="264" w:lineRule="auto"/>
            </w:pPr>
            <w:r/>
            <w:r>
              <w:rPr>
                <w:rFonts w:ascii="Calibri" w:hAnsi="Calibri"/>
                <w:b w:val="0"/>
                <w:sz w:val="18"/>
              </w:rPr>
              <w:t>Original established list</w:t>
            </w:r>
          </w:p>
        </w:tc>
        <w:tc>
          <w:tcPr>
            <w:tcW w:type="dxa" w:w="5976"/>
            <w:vAlign w:val="center"/>
            <w:tcMar>
              <w:top w:w="80" w:type="dxa"/>
              <w:start w:w="120" w:type="dxa"/>
              <w:bottom w:w="80" w:type="dxa"/>
              <w:end w:w="120" w:type="dxa"/>
            </w:tcMar>
            <w:shd w:fill="E8EEF5"/>
          </w:tcPr>
          <w:p>
            <w:pPr>
              <w:spacing w:after="0" w:line="264" w:lineRule="auto"/>
            </w:pPr>
            <w:r/>
            <w:r>
              <w:rPr>
                <w:rFonts w:ascii="Calibri" w:hAnsi="Calibri"/>
                <w:b w:val="0"/>
                <w:sz w:val="18"/>
              </w:rPr>
              <w:t>User-supplied established classification</w:t>
            </w:r>
          </w:p>
        </w:tc>
      </w:tr>
      <w:tr>
        <w:trPr/>
        <w:tc>
          <w:tcPr>
            <w:tcW w:type="dxa" w:w="3384"/>
            <w:vAlign w:val="center"/>
            <w:tcMar>
              <w:top w:w="80" w:type="dxa"/>
              <w:start w:w="120" w:type="dxa"/>
              <w:bottom w:w="80" w:type="dxa"/>
              <w:end w:w="120" w:type="dxa"/>
            </w:tcMar>
            <w:shd w:fill="FFFFFF"/>
          </w:tcPr>
          <w:p>
            <w:pPr>
              <w:spacing w:after="0" w:line="264" w:lineRule="auto"/>
            </w:pPr>
            <w:r/>
            <w:r>
              <w:rPr>
                <w:rFonts w:ascii="Calibri" w:hAnsi="Calibri"/>
                <w:b w:val="0"/>
                <w:sz w:val="18"/>
              </w:rPr>
              <w:t>New verified research</w:t>
            </w:r>
          </w:p>
        </w:tc>
        <w:tc>
          <w:tcPr>
            <w:tcW w:type="dxa" w:w="5976"/>
            <w:vAlign w:val="center"/>
            <w:tcMar>
              <w:top w:w="80" w:type="dxa"/>
              <w:start w:w="120" w:type="dxa"/>
              <w:bottom w:w="80" w:type="dxa"/>
              <w:end w:w="120" w:type="dxa"/>
            </w:tcMar>
            <w:shd w:fill="FFFFFF"/>
          </w:tcPr>
          <w:p>
            <w:pPr>
              <w:spacing w:after="0" w:line="264" w:lineRule="auto"/>
            </w:pPr>
            <w:r/>
            <w:r>
              <w:rPr>
                <w:rFonts w:ascii="Calibri" w:hAnsi="Calibri"/>
                <w:b w:val="0"/>
                <w:sz w:val="18"/>
              </w:rPr>
              <w:t>Confirmed through online self-disclosure research</w:t>
            </w:r>
          </w:p>
        </w:tc>
      </w:tr>
      <w:tr>
        <w:trPr/>
        <w:tc>
          <w:tcPr>
            <w:tcW w:type="dxa" w:w="3384"/>
            <w:vAlign w:val="center"/>
            <w:tcMar>
              <w:top w:w="80" w:type="dxa"/>
              <w:start w:w="120" w:type="dxa"/>
              <w:bottom w:w="80" w:type="dxa"/>
              <w:end w:w="120" w:type="dxa"/>
            </w:tcMar>
            <w:shd w:fill="E8EEF5"/>
          </w:tcPr>
          <w:p>
            <w:pPr>
              <w:spacing w:after="0" w:line="264" w:lineRule="auto"/>
            </w:pPr>
            <w:r/>
            <w:r>
              <w:rPr>
                <w:rFonts w:ascii="Calibri" w:hAnsi="Calibri"/>
                <w:b w:val="0"/>
                <w:sz w:val="18"/>
              </w:rPr>
              <w:t>Ambiguous list</w:t>
            </w:r>
          </w:p>
        </w:tc>
        <w:tc>
          <w:tcPr>
            <w:tcW w:type="dxa" w:w="5976"/>
            <w:vAlign w:val="center"/>
            <w:tcMar>
              <w:top w:w="80" w:type="dxa"/>
              <w:start w:w="120" w:type="dxa"/>
              <w:bottom w:w="80" w:type="dxa"/>
              <w:end w:w="120" w:type="dxa"/>
            </w:tcMar>
            <w:shd w:fill="E8EEF5"/>
          </w:tcPr>
          <w:p>
            <w:pPr>
              <w:spacing w:after="0" w:line="264" w:lineRule="auto"/>
            </w:pPr>
            <w:r/>
            <w:r>
              <w:rPr>
                <w:rFonts w:ascii="Calibri" w:hAnsi="Calibri"/>
                <w:b w:val="0"/>
                <w:sz w:val="18"/>
              </w:rPr>
              <w:t>Research lead only</w:t>
            </w:r>
          </w:p>
        </w:tc>
      </w:tr>
      <w:tr>
        <w:trPr/>
        <w:tc>
          <w:tcPr>
            <w:tcW w:type="dxa" w:w="3384"/>
            <w:vAlign w:val="center"/>
            <w:tcMar>
              <w:top w:w="80" w:type="dxa"/>
              <w:start w:w="120" w:type="dxa"/>
              <w:bottom w:w="80" w:type="dxa"/>
              <w:end w:w="120" w:type="dxa"/>
            </w:tcMar>
            <w:shd w:fill="FFFFFF"/>
          </w:tcPr>
          <w:p>
            <w:pPr>
              <w:spacing w:after="0" w:line="264" w:lineRule="auto"/>
            </w:pPr>
            <w:r/>
            <w:r>
              <w:rPr>
                <w:rFonts w:ascii="Calibri" w:hAnsi="Calibri"/>
                <w:b w:val="0"/>
                <w:sz w:val="18"/>
              </w:rPr>
              <w:t>Unverified or unresolved case</w:t>
            </w:r>
          </w:p>
        </w:tc>
        <w:tc>
          <w:tcPr>
            <w:tcW w:type="dxa" w:w="5976"/>
            <w:vAlign w:val="center"/>
            <w:tcMar>
              <w:top w:w="80" w:type="dxa"/>
              <w:start w:w="120" w:type="dxa"/>
              <w:bottom w:w="80" w:type="dxa"/>
              <w:end w:w="120" w:type="dxa"/>
            </w:tcMar>
            <w:shd w:fill="FFFFFF"/>
          </w:tcPr>
          <w:p>
            <w:pPr>
              <w:spacing w:after="0" w:line="264" w:lineRule="auto"/>
            </w:pPr>
            <w:r/>
            <w:r>
              <w:rPr>
                <w:rFonts w:ascii="Calibri" w:hAnsi="Calibri"/>
                <w:b w:val="0"/>
                <w:sz w:val="18"/>
              </w:rPr>
              <w:t>Do not add to master category membership</w:t>
            </w:r>
          </w:p>
        </w:tc>
      </w:tr>
    </w:tbl>
    <w:p>
      <w:pPr>
        <w:widowControl/>
        <w:spacing w:after="40"/>
      </w:pPr>
    </w:p>
    <w:p>
      <w:pPr>
        <w:pStyle w:val="Heading2"/>
        <w:widowControl/>
      </w:pPr>
      <w:r>
        <w:t>15.4 Dates and URLs</w:t>
      </w:r>
    </w:p>
    <w:p>
      <w:pPr>
        <w:pStyle w:val="ListBullet"/>
        <w:widowControl/>
      </w:pPr>
      <w:r>
        <w:t>Store complete, unambiguous dates as real spreadsheet dates.</w:t>
      </w:r>
    </w:p>
    <w:p>
      <w:pPr>
        <w:pStyle w:val="ListBullet"/>
        <w:widowControl/>
      </w:pPr>
      <w:r>
        <w:t>Preserve incomplete dates as text; do not guess missing day or month.</w:t>
      </w:r>
    </w:p>
    <w:p>
      <w:pPr>
        <w:pStyle w:val="ListBullet"/>
        <w:widowControl/>
      </w:pPr>
      <w:r>
        <w:t>Store direct evidence URLs, not search-result URLs.</w:t>
      </w:r>
    </w:p>
    <w:p>
      <w:pPr>
        <w:pStyle w:val="ListBullet"/>
        <w:widowControl/>
      </w:pPr>
      <w:r>
        <w:t>Use the most stable canonical URL available.</w:t>
      </w:r>
    </w:p>
    <w:p>
      <w:pPr>
        <w:pStyle w:val="ListBullet"/>
        <w:widowControl/>
      </w:pPr>
      <w:r>
        <w:t>Record access date separately from publication date.</w:t>
      </w:r>
    </w:p>
    <w:p>
      <w:pPr>
        <w:pStyle w:val="Heading2"/>
        <w:widowControl/>
      </w:pPr>
      <w:r>
        <w:t>15.5 Change control</w:t>
      </w:r>
    </w:p>
    <w:p>
      <w:pPr>
        <w:widowControl/>
      </w:pPr>
      <w:r>
        <w:t>Every new performer, category addition, identity correction, merge, rejection or review escalation must appear in Change Log. Existing established classifications must remain unchanged unless an explicit human-approved correction is recorded.</w:t>
      </w:r>
    </w:p>
    <w:p>
      <w:pPr>
        <w:pStyle w:val="Heading1"/>
        <w:widowControl/>
      </w:pPr>
      <w:r>
        <w:t>16. Quality assurance and batch controls</w:t>
      </w:r>
    </w:p>
    <w:p>
      <w:pPr>
        <w:pStyle w:val="Heading2"/>
        <w:widowControl/>
      </w:pPr>
      <w:r>
        <w:t>16.1 Research QA</w:t>
      </w:r>
    </w:p>
    <w:p>
      <w:pPr>
        <w:pStyle w:val="ListBullet"/>
        <w:widowControl/>
      </w:pPr>
      <w:r>
        <w:t>Every identity-resolved unmatched performer has exactly one terminal research status.</w:t>
      </w:r>
    </w:p>
    <w:p>
      <w:pPr>
        <w:pStyle w:val="ListBullet"/>
        <w:widowControl/>
      </w:pPr>
      <w:r>
        <w:t>Every Proposed confirmation has at least one evidence record.</w:t>
      </w:r>
    </w:p>
    <w:p>
      <w:pPr>
        <w:pStyle w:val="ListBullet"/>
        <w:widowControl/>
      </w:pPr>
      <w:r>
        <w:t>Every Verified finding has qualifying evidence and a verifier decision.</w:t>
      </w:r>
    </w:p>
    <w:p>
      <w:pPr>
        <w:pStyle w:val="ListBullet"/>
        <w:widowControl/>
      </w:pPr>
      <w:r>
        <w:t>Every category added to the master register traces to a Verified finding.</w:t>
      </w:r>
    </w:p>
    <w:p>
      <w:pPr>
        <w:pStyle w:val="ListBullet"/>
        <w:widowControl/>
      </w:pPr>
      <w:r>
        <w:t>No category is supported only by the ambiguous-list filename, role, appearance or third-party label.</w:t>
      </w:r>
    </w:p>
    <w:p>
      <w:pPr>
        <w:pStyle w:val="ListBullet"/>
        <w:widowControl/>
      </w:pPr>
      <w:r>
        <w:t>Unsuccessful and unresolved cases remain visible outside the master category totals.</w:t>
      </w:r>
    </w:p>
    <w:p>
      <w:pPr>
        <w:pStyle w:val="Heading2"/>
        <w:widowControl/>
      </w:pPr>
      <w:r>
        <w:t>16.2 Reconciliation QA</w:t>
      </w:r>
    </w:p>
    <w:p>
      <w:pPr>
        <w:pStyle w:val="ListBullet"/>
        <w:widowControl/>
      </w:pPr>
      <w:r>
        <w:t>Every ambiguous input row appears in Established Matches, Research Queue or Unsupported and Unresolved.</w:t>
      </w:r>
    </w:p>
    <w:p>
      <w:pPr>
        <w:pStyle w:val="ListBullet"/>
        <w:widowControl/>
      </w:pPr>
      <w:r>
        <w:t>Research occurs once per unique valid IMDb Const.</w:t>
      </w:r>
    </w:p>
    <w:p>
      <w:pPr>
        <w:pStyle w:val="ListBullet"/>
        <w:widowControl/>
      </w:pPr>
      <w:r>
        <w:t>All originating ambiguous files are preserved for repeated performers.</w:t>
      </w:r>
    </w:p>
    <w:p>
      <w:pPr>
        <w:pStyle w:val="ListBullet"/>
        <w:widowControl/>
      </w:pPr>
      <w:r>
        <w:t>Verified performer and category totals agree across Summary, Master Performers, Category Membership and Change Log.</w:t>
      </w:r>
    </w:p>
    <w:p>
      <w:pPr>
        <w:pStyle w:val="ListBullet"/>
        <w:widowControl/>
      </w:pPr>
      <w:r>
        <w:t>Existing established totals remain available for before-and-after comparison.</w:t>
      </w:r>
    </w:p>
    <w:p>
      <w:pPr>
        <w:pStyle w:val="ListBullet"/>
        <w:widowControl/>
      </w:pPr>
      <w:r>
        <w:t>No performer ID or IMDb Const is duplicated in Master Performers.</w:t>
      </w:r>
    </w:p>
    <w:p>
      <w:pPr>
        <w:pStyle w:val="Heading2"/>
        <w:widowControl/>
      </w:pPr>
      <w:r>
        <w:t>16.3 Batch sizing</w:t>
      </w:r>
    </w:p>
    <w:p>
      <w:pPr>
        <w:widowControl/>
      </w:pPr>
      <w:r>
        <w:t>Batch size should be governed by evidence complexity, not only row count. As a default, use 20–40 unmatched performers per research batch, reducing to 10–20 where names are common, identities are unresolved, sources are multilingual or multiple categories require verification. Keep identity resolution and verification capacity within the same batch.</w:t>
      </w:r>
    </w:p>
    <w:p>
      <w:pPr>
        <w:pStyle w:val="Heading2"/>
        <w:widowControl/>
      </w:pPr>
      <w:r>
        <w:t>16.4 Stop and escalation conditions</w:t>
      </w:r>
    </w:p>
    <w:p>
      <w:pPr>
        <w:pStyle w:val="ListBullet"/>
        <w:widowControl/>
      </w:pPr>
      <w:r>
        <w:t>Identity cannot be resolved safely.</w:t>
      </w:r>
    </w:p>
    <w:p>
      <w:pPr>
        <w:pStyle w:val="ListBullet"/>
        <w:widowControl/>
      </w:pPr>
      <w:r>
        <w:t>The proposed category is outside the controlled taxonomy.</w:t>
      </w:r>
    </w:p>
    <w:p>
      <w:pPr>
        <w:pStyle w:val="ListBullet"/>
        <w:widowControl/>
      </w:pPr>
      <w:r>
        <w:t>Evidence is private, leaked, unlawfully obtained or requires circumvention.</w:t>
      </w:r>
    </w:p>
    <w:p>
      <w:pPr>
        <w:pStyle w:val="ListBullet"/>
        <w:widowControl/>
      </w:pPr>
      <w:r>
        <w:t>A source contains material ambiguity that the category rules do not resolve.</w:t>
      </w:r>
    </w:p>
    <w:p>
      <w:pPr>
        <w:pStyle w:val="ListBullet"/>
        <w:widowControl/>
      </w:pPr>
      <w:r>
        <w:t>A prompt conflicts with the non-speculation threshold.</w:t>
      </w:r>
    </w:p>
    <w:p>
      <w:pPr>
        <w:pStyle w:val="ListBullet"/>
        <w:widowControl/>
      </w:pPr>
      <w:r>
        <w:t>A proposed correction would overwrite an established user-supplied classification.</w:t>
      </w:r>
    </w:p>
    <w:p>
      <w:pPr>
        <w:pStyle w:val="ListBullet"/>
        <w:widowControl/>
      </w:pPr>
      <w:r>
        <w:t>The same evidence produces materially different verifier decisions.</w:t>
      </w:r>
    </w:p>
    <w:p>
      <w:pPr>
        <w:pStyle w:val="Heading2"/>
        <w:widowControl/>
      </w:pPr>
      <w:r>
        <w:t>16.5 Final batch sign-off</w:t>
      </w:r>
    </w:p>
    <w:p>
      <w:pPr>
        <w:pStyle w:val="ListBullet"/>
        <w:widowControl/>
      </w:pPr>
      <w:r>
        <w:t>Researcher confirms defined searches completed.</w:t>
      </w:r>
    </w:p>
    <w:p>
      <w:pPr>
        <w:pStyle w:val="ListBullet"/>
        <w:widowControl/>
      </w:pPr>
      <w:r>
        <w:t>Verifier confirms all proposed classifications decided.</w:t>
      </w:r>
    </w:p>
    <w:p>
      <w:pPr>
        <w:pStyle w:val="ListBullet"/>
        <w:widowControl/>
      </w:pPr>
      <w:r>
        <w:t>Data steward confirms only Verified findings entered the master register.</w:t>
      </w:r>
    </w:p>
    <w:p>
      <w:pPr>
        <w:pStyle w:val="ListBullet"/>
        <w:widowControl/>
      </w:pPr>
      <w:r>
        <w:t>QA confirms source, evidence, category and summary totals reconcile.</w:t>
      </w:r>
    </w:p>
    <w:p>
      <w:pPr>
        <w:pStyle w:val="ListBullet"/>
        <w:widowControl/>
      </w:pPr>
      <w:r>
        <w:t>Workbook is visually inspected and contains no clipped values, broken links or formula errors.</w:t>
      </w:r>
    </w:p>
    <w:p>
      <w:pPr>
        <w:pStyle w:val="Heading1"/>
        <w:widowControl/>
      </w:pPr>
      <w:r>
        <w:t>17. Version control and maintenance</w:t>
      </w:r>
    </w:p>
    <w:p>
      <w:pPr>
        <w:pStyle w:val="Heading2"/>
        <w:widowControl/>
      </w:pPr>
      <w:r>
        <w:t>17.1 Versioning</w:t>
      </w:r>
    </w:p>
    <w:p>
      <w:pPr>
        <w:widowControl/>
      </w:pPr>
      <w:r>
        <w:t>Use semantic document versions. Increase the major version when evidence thresholds, controlled categories or decision logic change. Increase the minor version for new examples, clarifications or non-breaking source guidance. Record the exact RAG version in every research batch.</w:t>
      </w:r>
    </w:p>
    <w:p>
      <w:pPr>
        <w:pStyle w:val="Heading2"/>
        <w:widowControl/>
      </w:pPr>
      <w:r>
        <w:t>17.2 Change record</w:t>
      </w:r>
    </w:p>
    <w:tbl>
      <w:tblPr>
        <w:tblW w:type="dxa" w:w="9360"/>
        <w:jc w:val="center"/>
        <w:tblLayout w:type="fixed"/>
        <w:tblLook w:firstColumn="1" w:firstRow="1" w:lastColumn="0" w:lastRow="0" w:noHBand="0" w:noVBand="1" w:val="04A0"/>
      </w:tblPr>
      <w:tblGrid>
        <w:gridCol w:w="2448"/>
        <w:gridCol w:w="2448"/>
        <w:gridCol w:w="2448"/>
        <w:gridCol w:w="2448"/>
      </w:tblGrid>
      <w:tr>
        <w:trPr>
          <w:tblHeader/>
        </w:trPr>
        <w:tc>
          <w:tcPr>
            <w:tcW w:type="dxa" w:w="1008"/>
            <w:vAlign w:val="center"/>
            <w:tcMar>
              <w:top w:w="80" w:type="dxa"/>
              <w:start w:w="120" w:type="dxa"/>
              <w:bottom w:w="80" w:type="dxa"/>
              <w:end w:w="120" w:type="dxa"/>
            </w:tcMar>
            <w:shd w:fill="2E74B5"/>
          </w:tcPr>
          <w:p>
            <w:pPr>
              <w:spacing w:after="0" w:line="264" w:lineRule="auto"/>
            </w:pPr>
            <w:r/>
            <w:r>
              <w:rPr>
                <w:rFonts w:ascii="Calibri" w:hAnsi="Calibri"/>
                <w:b/>
                <w:color w:val="FFFFFF"/>
                <w:sz w:val="18"/>
              </w:rPr>
              <w:t>Version</w:t>
            </w:r>
          </w:p>
        </w:tc>
        <w:tc>
          <w:tcPr>
            <w:tcW w:type="dxa" w:w="180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Date</w:t>
            </w:r>
          </w:p>
        </w:tc>
        <w:tc>
          <w:tcPr>
            <w:tcW w:type="dxa" w:w="4680"/>
            <w:vAlign w:val="center"/>
            <w:tcMar>
              <w:top w:w="80" w:type="dxa"/>
              <w:start w:w="120" w:type="dxa"/>
              <w:bottom w:w="80" w:type="dxa"/>
              <w:end w:w="120" w:type="dxa"/>
            </w:tcMar>
            <w:shd w:fill="2E74B5"/>
          </w:tcPr>
          <w:p>
            <w:pPr>
              <w:spacing w:after="0" w:line="264" w:lineRule="auto"/>
            </w:pPr>
            <w:r/>
            <w:r>
              <w:rPr>
                <w:rFonts w:ascii="Calibri" w:hAnsi="Calibri"/>
                <w:b/>
                <w:color w:val="FFFFFF"/>
                <w:sz w:val="18"/>
              </w:rPr>
              <w:t>Change</w:t>
            </w:r>
          </w:p>
        </w:tc>
        <w:tc>
          <w:tcPr>
            <w:tcW w:type="dxa" w:w="1872"/>
            <w:vAlign w:val="center"/>
            <w:tcMar>
              <w:top w:w="80" w:type="dxa"/>
              <w:start w:w="120" w:type="dxa"/>
              <w:bottom w:w="80" w:type="dxa"/>
              <w:end w:w="120" w:type="dxa"/>
            </w:tcMar>
            <w:shd w:fill="2E74B5"/>
          </w:tcPr>
          <w:p>
            <w:pPr>
              <w:spacing w:after="0" w:line="264" w:lineRule="auto"/>
            </w:pPr>
            <w:r/>
            <w:r>
              <w:rPr>
                <w:rFonts w:ascii="Calibri" w:hAnsi="Calibri"/>
                <w:b/>
                <w:color w:val="FFFFFF"/>
                <w:sz w:val="18"/>
              </w:rPr>
              <w:t>Impact</w:t>
            </w:r>
          </w:p>
        </w:tc>
      </w:tr>
      <w:tr>
        <w:trPr/>
        <w:tc>
          <w:tcPr>
            <w:tcW w:type="dxa" w:w="1008"/>
            <w:vAlign w:val="center"/>
            <w:tcMar>
              <w:top w:w="80" w:type="dxa"/>
              <w:start w:w="120" w:type="dxa"/>
              <w:bottom w:w="80" w:type="dxa"/>
              <w:end w:w="120" w:type="dxa"/>
            </w:tcMar>
            <w:shd w:fill="E8EEF5"/>
          </w:tcPr>
          <w:p>
            <w:pPr>
              <w:spacing w:after="0" w:line="264" w:lineRule="auto"/>
            </w:pPr>
            <w:r/>
            <w:r>
              <w:rPr>
                <w:rFonts w:ascii="Calibri" w:hAnsi="Calibri"/>
                <w:b w:val="0"/>
                <w:sz w:val="18"/>
              </w:rPr>
              <w:t>1.0</w:t>
            </w:r>
          </w:p>
        </w:tc>
        <w:tc>
          <w:tcPr>
            <w:tcW w:type="dxa" w:w="1800"/>
            <w:vAlign w:val="center"/>
            <w:tcMar>
              <w:top w:w="80" w:type="dxa"/>
              <w:start w:w="120" w:type="dxa"/>
              <w:bottom w:w="80" w:type="dxa"/>
              <w:end w:w="120" w:type="dxa"/>
            </w:tcMar>
            <w:shd w:fill="E8EEF5"/>
          </w:tcPr>
          <w:p>
            <w:pPr>
              <w:spacing w:after="0" w:line="264" w:lineRule="auto"/>
            </w:pPr>
            <w:r/>
            <w:r>
              <w:rPr>
                <w:rFonts w:ascii="Calibri" w:hAnsi="Calibri"/>
                <w:b w:val="0"/>
                <w:sz w:val="18"/>
              </w:rPr>
              <w:t>14 August 2026</w:t>
            </w:r>
          </w:p>
        </w:tc>
        <w:tc>
          <w:tcPr>
            <w:tcW w:type="dxa" w:w="4680"/>
            <w:vAlign w:val="center"/>
            <w:tcMar>
              <w:top w:w="80" w:type="dxa"/>
              <w:start w:w="120" w:type="dxa"/>
              <w:bottom w:w="80" w:type="dxa"/>
              <w:end w:w="120" w:type="dxa"/>
            </w:tcMar>
            <w:shd w:fill="E8EEF5"/>
          </w:tcPr>
          <w:p>
            <w:pPr>
              <w:spacing w:after="0" w:line="264" w:lineRule="auto"/>
            </w:pPr>
            <w:r/>
            <w:r>
              <w:rPr>
                <w:rFonts w:ascii="Calibri" w:hAnsi="Calibri"/>
                <w:b w:val="0"/>
                <w:sz w:val="18"/>
              </w:rPr>
              <w:t>Initial controlled release supporting the ambiguous performer-list research and master-register update prompt.</w:t>
            </w:r>
          </w:p>
        </w:tc>
        <w:tc>
          <w:tcPr>
            <w:tcW w:type="dxa" w:w="1872"/>
            <w:vAlign w:val="center"/>
            <w:tcMar>
              <w:top w:w="80" w:type="dxa"/>
              <w:start w:w="120" w:type="dxa"/>
              <w:bottom w:w="80" w:type="dxa"/>
              <w:end w:w="120" w:type="dxa"/>
            </w:tcMar>
            <w:shd w:fill="E8EEF5"/>
          </w:tcPr>
          <w:p>
            <w:pPr>
              <w:spacing w:after="0" w:line="264" w:lineRule="auto"/>
            </w:pPr>
            <w:r/>
            <w:r>
              <w:rPr>
                <w:rFonts w:ascii="Calibri" w:hAnsi="Calibri"/>
                <w:b w:val="0"/>
                <w:sz w:val="18"/>
              </w:rPr>
              <w:t>Establishes identity, evidence, category, verification, workbook and QA rules.</w:t>
            </w:r>
          </w:p>
        </w:tc>
      </w:tr>
    </w:tbl>
    <w:p>
      <w:pPr>
        <w:widowControl/>
        <w:spacing w:after="40"/>
      </w:pPr>
    </w:p>
    <w:p>
      <w:pPr>
        <w:pStyle w:val="Heading2"/>
        <w:widowControl/>
      </w:pPr>
      <w:r>
        <w:t>17.3 Maintenance rules</w:t>
      </w:r>
    </w:p>
    <w:p>
      <w:pPr>
        <w:pStyle w:val="ListBullet"/>
        <w:widowControl/>
      </w:pPr>
      <w:r>
        <w:t>Keep category definitions and workbook controlled names synchronised.</w:t>
      </w:r>
    </w:p>
    <w:p>
      <w:pPr>
        <w:pStyle w:val="ListBullet"/>
        <w:widowControl/>
      </w:pPr>
      <w:r>
        <w:t>Do not copy changed rules into prompts without updating the RAG version reference.</w:t>
      </w:r>
    </w:p>
    <w:p>
      <w:pPr>
        <w:pStyle w:val="ListBullet"/>
        <w:widowControl/>
      </w:pPr>
      <w:r>
        <w:t>Test revisions against accepted, rejected, ambiguous and identity-conflict examples.</w:t>
      </w:r>
    </w:p>
    <w:p>
      <w:pPr>
        <w:pStyle w:val="ListBullet"/>
        <w:widowControl/>
      </w:pPr>
      <w:r>
        <w:t>Preserve superseded versions for audit.</w:t>
      </w:r>
    </w:p>
    <w:p>
      <w:pPr>
        <w:pStyle w:val="ListBullet"/>
        <w:widowControl/>
      </w:pPr>
      <w:r>
        <w:t>Document any temporary project exception, its approver, scope and expiry.</w:t>
      </w:r>
    </w:p>
    <w:p>
      <w:pPr>
        <w:pStyle w:val="Heading1"/>
        <w:widowControl/>
      </w:pPr>
      <w:r>
        <w:t>Appendix A. Controlled vocabulary</w:t>
      </w:r>
    </w:p>
    <w:tbl>
      <w:tblPr>
        <w:tblW w:type="dxa" w:w="9360"/>
        <w:jc w:val="center"/>
        <w:tblLayout w:type="fixed"/>
        <w:tblLook w:firstColumn="1" w:firstRow="1" w:lastColumn="0" w:lastRow="0" w:noHBand="0" w:noVBand="1" w:val="04A0"/>
      </w:tblPr>
      <w:tblGrid>
        <w:gridCol w:w="4896"/>
        <w:gridCol w:w="4896"/>
      </w:tblGrid>
      <w:tr>
        <w:trPr>
          <w:tblHeader/>
        </w:trPr>
        <w:tc>
          <w:tcPr>
            <w:tcW w:type="dxa" w:w="3024"/>
            <w:vAlign w:val="center"/>
            <w:tcMar>
              <w:top w:w="80" w:type="dxa"/>
              <w:start w:w="120" w:type="dxa"/>
              <w:bottom w:w="80" w:type="dxa"/>
              <w:end w:w="120" w:type="dxa"/>
            </w:tcMar>
            <w:shd w:fill="2E74B5"/>
          </w:tcPr>
          <w:p>
            <w:pPr>
              <w:spacing w:after="0" w:line="264" w:lineRule="auto"/>
            </w:pPr>
            <w:r/>
            <w:r>
              <w:rPr>
                <w:rFonts w:ascii="Calibri" w:hAnsi="Calibri"/>
                <w:b/>
                <w:color w:val="FFFFFF"/>
                <w:sz w:val="18"/>
              </w:rPr>
              <w:t>Field</w:t>
            </w:r>
          </w:p>
        </w:tc>
        <w:tc>
          <w:tcPr>
            <w:tcW w:type="dxa" w:w="6336"/>
            <w:vAlign w:val="center"/>
            <w:tcMar>
              <w:top w:w="80" w:type="dxa"/>
              <w:start w:w="120" w:type="dxa"/>
              <w:bottom w:w="80" w:type="dxa"/>
              <w:end w:w="120" w:type="dxa"/>
            </w:tcMar>
            <w:shd w:fill="2E74B5"/>
          </w:tcPr>
          <w:p>
            <w:pPr>
              <w:spacing w:after="0" w:line="264" w:lineRule="auto"/>
            </w:pPr>
            <w:r/>
            <w:r>
              <w:rPr>
                <w:rFonts w:ascii="Calibri" w:hAnsi="Calibri"/>
                <w:b/>
                <w:color w:val="FFFFFF"/>
                <w:sz w:val="18"/>
              </w:rPr>
              <w:t>Allowed values</w:t>
            </w:r>
          </w:p>
        </w:tc>
      </w:tr>
      <w:tr>
        <w:trPr/>
        <w:tc>
          <w:tcPr>
            <w:tcW w:type="dxa" w:w="3024"/>
            <w:vAlign w:val="center"/>
            <w:tcMar>
              <w:top w:w="80" w:type="dxa"/>
              <w:start w:w="120" w:type="dxa"/>
              <w:bottom w:w="80" w:type="dxa"/>
              <w:end w:w="120" w:type="dxa"/>
            </w:tcMar>
            <w:shd w:fill="E8EEF5"/>
          </w:tcPr>
          <w:p>
            <w:pPr>
              <w:spacing w:after="0" w:line="264" w:lineRule="auto"/>
            </w:pPr>
            <w:r/>
            <w:r>
              <w:rPr>
                <w:rFonts w:ascii="Calibri" w:hAnsi="Calibri"/>
                <w:b w:val="0"/>
                <w:sz w:val="18"/>
              </w:rPr>
              <w:t>Research status</w:t>
            </w:r>
          </w:p>
        </w:tc>
        <w:tc>
          <w:tcPr>
            <w:tcW w:type="dxa" w:w="6336"/>
            <w:vAlign w:val="center"/>
            <w:tcMar>
              <w:top w:w="80" w:type="dxa"/>
              <w:start w:w="120" w:type="dxa"/>
              <w:bottom w:w="80" w:type="dxa"/>
              <w:end w:w="120" w:type="dxa"/>
            </w:tcMar>
            <w:shd w:fill="E8EEF5"/>
          </w:tcPr>
          <w:p>
            <w:pPr>
              <w:spacing w:after="0" w:line="264" w:lineRule="auto"/>
            </w:pPr>
            <w:r/>
            <w:r>
              <w:rPr>
                <w:rFonts w:ascii="Calibri" w:hAnsi="Calibri"/>
                <w:b w:val="0"/>
                <w:sz w:val="18"/>
              </w:rPr>
              <w:t>Not started; In progress; Research completed; Identity review required; No qualifying disclosure found; Evidence requires verification</w:t>
            </w:r>
          </w:p>
        </w:tc>
      </w:tr>
      <w:tr>
        <w:trPr/>
        <w:tc>
          <w:tcPr>
            <w:tcW w:type="dxa" w:w="3024"/>
            <w:vAlign w:val="center"/>
            <w:tcMar>
              <w:top w:w="80" w:type="dxa"/>
              <w:start w:w="120" w:type="dxa"/>
              <w:bottom w:w="80" w:type="dxa"/>
              <w:end w:w="120" w:type="dxa"/>
            </w:tcMar>
            <w:shd w:fill="FFFFFF"/>
          </w:tcPr>
          <w:p>
            <w:pPr>
              <w:spacing w:after="0" w:line="264" w:lineRule="auto"/>
            </w:pPr>
            <w:r/>
            <w:r>
              <w:rPr>
                <w:rFonts w:ascii="Calibri" w:hAnsi="Calibri"/>
                <w:b w:val="0"/>
                <w:sz w:val="18"/>
              </w:rPr>
              <w:t>Research outcome</w:t>
            </w:r>
          </w:p>
        </w:tc>
        <w:tc>
          <w:tcPr>
            <w:tcW w:type="dxa" w:w="6336"/>
            <w:vAlign w:val="center"/>
            <w:tcMar>
              <w:top w:w="80" w:type="dxa"/>
              <w:start w:w="120" w:type="dxa"/>
              <w:bottom w:w="80" w:type="dxa"/>
              <w:end w:w="120" w:type="dxa"/>
            </w:tcMar>
            <w:shd w:fill="FFFFFF"/>
          </w:tcPr>
          <w:p>
            <w:pPr>
              <w:spacing w:after="0" w:line="264" w:lineRule="auto"/>
            </w:pPr>
            <w:r/>
            <w:r>
              <w:rPr>
                <w:rFonts w:ascii="Calibri" w:hAnsi="Calibri"/>
                <w:b w:val="0"/>
                <w:sz w:val="18"/>
              </w:rPr>
              <w:t>Proposed confirmation; No qualifying disclosure found; Ambiguous evidence; Unsupported claim; Identity unresolved; Source unavailable; Human review required</w:t>
            </w:r>
          </w:p>
        </w:tc>
      </w:tr>
      <w:tr>
        <w:trPr/>
        <w:tc>
          <w:tcPr>
            <w:tcW w:type="dxa" w:w="3024"/>
            <w:vAlign w:val="center"/>
            <w:tcMar>
              <w:top w:w="80" w:type="dxa"/>
              <w:start w:w="120" w:type="dxa"/>
              <w:bottom w:w="80" w:type="dxa"/>
              <w:end w:w="120" w:type="dxa"/>
            </w:tcMar>
            <w:shd w:fill="E8EEF5"/>
          </w:tcPr>
          <w:p>
            <w:pPr>
              <w:spacing w:after="0" w:line="264" w:lineRule="auto"/>
            </w:pPr>
            <w:r/>
            <w:r>
              <w:rPr>
                <w:rFonts w:ascii="Calibri" w:hAnsi="Calibri"/>
                <w:b w:val="0"/>
                <w:sz w:val="18"/>
              </w:rPr>
              <w:t>Evidence status</w:t>
            </w:r>
          </w:p>
        </w:tc>
        <w:tc>
          <w:tcPr>
            <w:tcW w:type="dxa" w:w="6336"/>
            <w:vAlign w:val="center"/>
            <w:tcMar>
              <w:top w:w="80" w:type="dxa"/>
              <w:start w:w="120" w:type="dxa"/>
              <w:bottom w:w="80" w:type="dxa"/>
              <w:end w:w="120" w:type="dxa"/>
            </w:tcMar>
            <w:shd w:fill="E8EEF5"/>
          </w:tcPr>
          <w:p>
            <w:pPr>
              <w:spacing w:after="0" w:line="264" w:lineRule="auto"/>
            </w:pPr>
            <w:r/>
            <w:r>
              <w:rPr>
                <w:rFonts w:ascii="Calibri" w:hAnsi="Calibri"/>
                <w:b w:val="0"/>
                <w:sz w:val="18"/>
              </w:rPr>
              <w:t>Qualifying; Potentially qualifying; Ambiguous; Rejected; Unavailable</w:t>
            </w:r>
          </w:p>
        </w:tc>
      </w:tr>
      <w:tr>
        <w:trPr/>
        <w:tc>
          <w:tcPr>
            <w:tcW w:type="dxa" w:w="3024"/>
            <w:vAlign w:val="center"/>
            <w:tcMar>
              <w:top w:w="80" w:type="dxa"/>
              <w:start w:w="120" w:type="dxa"/>
              <w:bottom w:w="80" w:type="dxa"/>
              <w:end w:w="120" w:type="dxa"/>
            </w:tcMar>
            <w:shd w:fill="FFFFFF"/>
          </w:tcPr>
          <w:p>
            <w:pPr>
              <w:spacing w:after="0" w:line="264" w:lineRule="auto"/>
            </w:pPr>
            <w:r/>
            <w:r>
              <w:rPr>
                <w:rFonts w:ascii="Calibri" w:hAnsi="Calibri"/>
                <w:b w:val="0"/>
                <w:sz w:val="18"/>
              </w:rPr>
              <w:t>Verification status</w:t>
            </w:r>
          </w:p>
        </w:tc>
        <w:tc>
          <w:tcPr>
            <w:tcW w:type="dxa" w:w="6336"/>
            <w:vAlign w:val="center"/>
            <w:tcMar>
              <w:top w:w="80" w:type="dxa"/>
              <w:start w:w="120" w:type="dxa"/>
              <w:bottom w:w="80" w:type="dxa"/>
              <w:end w:w="120" w:type="dxa"/>
            </w:tcMar>
            <w:shd w:fill="FFFFFF"/>
          </w:tcPr>
          <w:p>
            <w:pPr>
              <w:spacing w:after="0" w:line="264" w:lineRule="auto"/>
            </w:pPr>
            <w:r/>
            <w:r>
              <w:rPr>
                <w:rFonts w:ascii="Calibri" w:hAnsi="Calibri"/>
                <w:b w:val="0"/>
                <w:sz w:val="18"/>
              </w:rPr>
              <w:t>Verified; Rejected; Ambiguous; Additional evidence required; Identity unresolved</w:t>
            </w:r>
          </w:p>
        </w:tc>
      </w:tr>
      <w:tr>
        <w:trPr/>
        <w:tc>
          <w:tcPr>
            <w:tcW w:type="dxa" w:w="3024"/>
            <w:vAlign w:val="center"/>
            <w:tcMar>
              <w:top w:w="80" w:type="dxa"/>
              <w:start w:w="120" w:type="dxa"/>
              <w:bottom w:w="80" w:type="dxa"/>
              <w:end w:w="120" w:type="dxa"/>
            </w:tcMar>
            <w:shd w:fill="E8EEF5"/>
          </w:tcPr>
          <w:p>
            <w:pPr>
              <w:spacing w:after="0" w:line="264" w:lineRule="auto"/>
            </w:pPr>
            <w:r/>
            <w:r>
              <w:rPr>
                <w:rFonts w:ascii="Calibri" w:hAnsi="Calibri"/>
                <w:b w:val="0"/>
                <w:sz w:val="18"/>
              </w:rPr>
              <w:t>Researcher confidence</w:t>
            </w:r>
          </w:p>
        </w:tc>
        <w:tc>
          <w:tcPr>
            <w:tcW w:type="dxa" w:w="6336"/>
            <w:vAlign w:val="center"/>
            <w:tcMar>
              <w:top w:w="80" w:type="dxa"/>
              <w:start w:w="120" w:type="dxa"/>
              <w:bottom w:w="80" w:type="dxa"/>
              <w:end w:w="120" w:type="dxa"/>
            </w:tcMar>
            <w:shd w:fill="E8EEF5"/>
          </w:tcPr>
          <w:p>
            <w:pPr>
              <w:spacing w:after="0" w:line="264" w:lineRule="auto"/>
            </w:pPr>
            <w:r/>
            <w:r>
              <w:rPr>
                <w:rFonts w:ascii="Calibri" w:hAnsi="Calibri"/>
                <w:b w:val="0"/>
                <w:sz w:val="18"/>
              </w:rPr>
              <w:t>High; Medium; Low</w:t>
            </w:r>
          </w:p>
        </w:tc>
      </w:tr>
      <w:tr>
        <w:trPr/>
        <w:tc>
          <w:tcPr>
            <w:tcW w:type="dxa" w:w="3024"/>
            <w:vAlign w:val="center"/>
            <w:tcMar>
              <w:top w:w="80" w:type="dxa"/>
              <w:start w:w="120" w:type="dxa"/>
              <w:bottom w:w="80" w:type="dxa"/>
              <w:end w:w="120" w:type="dxa"/>
            </w:tcMar>
            <w:shd w:fill="FFFFFF"/>
          </w:tcPr>
          <w:p>
            <w:pPr>
              <w:spacing w:after="0" w:line="264" w:lineRule="auto"/>
            </w:pPr>
            <w:r/>
            <w:r>
              <w:rPr>
                <w:rFonts w:ascii="Calibri" w:hAnsi="Calibri"/>
                <w:b w:val="0"/>
                <w:sz w:val="18"/>
              </w:rPr>
              <w:t>Category cell</w:t>
            </w:r>
          </w:p>
        </w:tc>
        <w:tc>
          <w:tcPr>
            <w:tcW w:type="dxa" w:w="6336"/>
            <w:vAlign w:val="center"/>
            <w:tcMar>
              <w:top w:w="80" w:type="dxa"/>
              <w:start w:w="120" w:type="dxa"/>
              <w:bottom w:w="80" w:type="dxa"/>
              <w:end w:w="120" w:type="dxa"/>
            </w:tcMar>
            <w:shd w:fill="FFFFFF"/>
          </w:tcPr>
          <w:p>
            <w:pPr>
              <w:spacing w:after="0" w:line="264" w:lineRule="auto"/>
            </w:pPr>
            <w:r/>
            <w:r>
              <w:rPr>
                <w:rFonts w:ascii="Calibri" w:hAnsi="Calibri"/>
                <w:b w:val="0"/>
                <w:sz w:val="18"/>
              </w:rPr>
              <w:t>Yes; blank</w:t>
            </w:r>
          </w:p>
        </w:tc>
      </w:tr>
      <w:tr>
        <w:trPr/>
        <w:tc>
          <w:tcPr>
            <w:tcW w:type="dxa" w:w="3024"/>
            <w:vAlign w:val="center"/>
            <w:tcMar>
              <w:top w:w="80" w:type="dxa"/>
              <w:start w:w="120" w:type="dxa"/>
              <w:bottom w:w="80" w:type="dxa"/>
              <w:end w:w="120" w:type="dxa"/>
            </w:tcMar>
            <w:shd w:fill="E8EEF5"/>
          </w:tcPr>
          <w:p>
            <w:pPr>
              <w:spacing w:after="0" w:line="264" w:lineRule="auto"/>
            </w:pPr>
            <w:r/>
            <w:r>
              <w:rPr>
                <w:rFonts w:ascii="Calibri" w:hAnsi="Calibri"/>
                <w:b w:val="0"/>
                <w:sz w:val="18"/>
              </w:rPr>
              <w:t>Classification provenance</w:t>
            </w:r>
          </w:p>
        </w:tc>
        <w:tc>
          <w:tcPr>
            <w:tcW w:type="dxa" w:w="6336"/>
            <w:vAlign w:val="center"/>
            <w:tcMar>
              <w:top w:w="80" w:type="dxa"/>
              <w:start w:w="120" w:type="dxa"/>
              <w:bottom w:w="80" w:type="dxa"/>
              <w:end w:w="120" w:type="dxa"/>
            </w:tcMar>
            <w:shd w:fill="E8EEF5"/>
          </w:tcPr>
          <w:p>
            <w:pPr>
              <w:spacing w:after="0" w:line="264" w:lineRule="auto"/>
            </w:pPr>
            <w:r/>
            <w:r>
              <w:rPr>
                <w:rFonts w:ascii="Calibri" w:hAnsi="Calibri"/>
                <w:b w:val="0"/>
                <w:sz w:val="18"/>
              </w:rPr>
              <w:t>User-supplied established classification; Confirmed through online self-disclosure research</w:t>
            </w:r>
          </w:p>
        </w:tc>
      </w:tr>
      <w:tr>
        <w:trPr/>
        <w:tc>
          <w:tcPr>
            <w:tcW w:type="dxa" w:w="3024"/>
            <w:vAlign w:val="center"/>
            <w:tcMar>
              <w:top w:w="80" w:type="dxa"/>
              <w:start w:w="120" w:type="dxa"/>
              <w:bottom w:w="80" w:type="dxa"/>
              <w:end w:w="120" w:type="dxa"/>
            </w:tcMar>
            <w:shd w:fill="FFFFFF"/>
          </w:tcPr>
          <w:p>
            <w:pPr>
              <w:spacing w:after="0" w:line="264" w:lineRule="auto"/>
            </w:pPr>
            <w:r/>
            <w:r>
              <w:rPr>
                <w:rFonts w:ascii="Calibri" w:hAnsi="Calibri"/>
                <w:b w:val="0"/>
                <w:sz w:val="18"/>
              </w:rPr>
              <w:t>Ambiguous-list evidential status</w:t>
            </w:r>
          </w:p>
        </w:tc>
        <w:tc>
          <w:tcPr>
            <w:tcW w:type="dxa" w:w="6336"/>
            <w:vAlign w:val="center"/>
            <w:tcMar>
              <w:top w:w="80" w:type="dxa"/>
              <w:start w:w="120" w:type="dxa"/>
              <w:bottom w:w="80" w:type="dxa"/>
              <w:end w:w="120" w:type="dxa"/>
            </w:tcMar>
            <w:shd w:fill="FFFFFF"/>
          </w:tcPr>
          <w:p>
            <w:pPr>
              <w:spacing w:after="0" w:line="264" w:lineRule="auto"/>
            </w:pPr>
            <w:r/>
            <w:r>
              <w:rPr>
                <w:rFonts w:ascii="Calibri" w:hAnsi="Calibri"/>
                <w:b w:val="0"/>
                <w:sz w:val="18"/>
              </w:rPr>
              <w:t>Research lead only</w:t>
            </w:r>
          </w:p>
        </w:tc>
      </w:tr>
    </w:tbl>
    <w:p>
      <w:pPr>
        <w:widowControl/>
        <w:spacing w:after="40"/>
      </w:pPr>
    </w:p>
    <w:p>
      <w:pPr>
        <w:pStyle w:val="Heading1"/>
        <w:widowControl/>
      </w:pPr>
      <w:r>
        <w:t>Appendix B. Compact verification card</w:t>
      </w:r>
    </w:p>
    <w:p>
      <w:pPr>
        <w:widowControl/>
      </w:pPr>
      <w:r>
        <w:t>Before marking a finding Verified, the verifier must be able to answer Yes to every applicable question:</w:t>
      </w:r>
    </w:p>
    <w:p>
      <w:pPr>
        <w:pStyle w:val="ListBullet"/>
        <w:widowControl/>
      </w:pPr>
      <w:r>
        <w:t>Correct IMDb person?</w:t>
      </w:r>
    </w:p>
    <w:p>
      <w:pPr>
        <w:pStyle w:val="ListBullet"/>
        <w:widowControl/>
      </w:pPr>
      <w:r>
        <w:t>Relevant professional identity corroborated?</w:t>
      </w:r>
    </w:p>
    <w:p>
      <w:pPr>
        <w:pStyle w:val="ListBullet"/>
        <w:widowControl/>
      </w:pPr>
      <w:r>
        <w:t>Underlying source opened?</w:t>
      </w:r>
    </w:p>
    <w:p>
      <w:pPr>
        <w:pStyle w:val="ListBullet"/>
        <w:widowControl/>
      </w:pPr>
      <w:r>
        <w:t>Words attributable to the performer or clearly authorised?</w:t>
      </w:r>
    </w:p>
    <w:p>
      <w:pPr>
        <w:pStyle w:val="ListBullet"/>
        <w:widowControl/>
      </w:pPr>
      <w:r>
        <w:t>Performer discussing themselves?</w:t>
      </w:r>
    </w:p>
    <w:p>
      <w:pPr>
        <w:pStyle w:val="ListBullet"/>
        <w:widowControl/>
      </w:pPr>
      <w:r>
        <w:t>Public disclosure?</w:t>
      </w:r>
    </w:p>
    <w:p>
      <w:pPr>
        <w:pStyle w:val="ListBullet"/>
        <w:widowControl/>
      </w:pPr>
      <w:r>
        <w:t>No role, appearance or third-party inference?</w:t>
      </w:r>
    </w:p>
    <w:p>
      <w:pPr>
        <w:pStyle w:val="ListBullet"/>
        <w:widowControl/>
      </w:pPr>
      <w:r>
        <w:t>Controlled category definition met?</w:t>
      </w:r>
    </w:p>
    <w:p>
      <w:pPr>
        <w:pStyle w:val="ListBullet"/>
        <w:widowControl/>
      </w:pPr>
      <w:r>
        <w:t>Terminology and qualification preserved?</w:t>
      </w:r>
    </w:p>
    <w:p>
      <w:pPr>
        <w:pStyle w:val="ListBullet"/>
        <w:widowControl/>
      </w:pPr>
      <w:r>
        <w:t>Direct URL and source metadata recorded?</w:t>
      </w:r>
    </w:p>
    <w:p>
      <w:pPr>
        <w:pStyle w:val="ListBullet"/>
        <w:widowControl/>
      </w:pPr>
      <w:r>
        <w:t>Each additional category supported independently?</w:t>
      </w:r>
    </w:p>
    <w:p>
      <w:pPr>
        <w:pStyle w:val="RAGNote"/>
        <w:keepLines/>
        <w:widowControl/>
        <w:shd w:fill="F4F6F9"/>
      </w:pPr>
      <w:r>
        <w:rPr>
          <w:b/>
          <w:color w:val="1F4D78"/>
        </w:rPr>
        <w:t xml:space="preserve">If any mandatory answer is No: </w:t>
      </w:r>
      <w:r>
        <w:t>Do not verify. Select Rejected, Ambiguous, Additional evidence required or Identity unresolved, and record the reason.</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Research governance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7085"/>
        <w:sz w:val="17"/>
      </w:rPr>
      <w:t>Performer Disability Self-Disclosure Research RAG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GNote">
    <w:name w:val="RAG Note"/>
    <w:basedOn w:val="Normal"/>
    <w:pPr>
      <w:spacing w:before="120" w:after="160"/>
      <w:ind w:left="259" w:right="259"/>
    </w:pPr>
    <w:rPr>
      <w:rFonts w:ascii="Calibri" w:hAnsi="Calibri"/>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Performer Disability Self-Disclosure Research RAG</dc:title>
  <dc:subject>Research governance for ambiguous performer lists and disability self-disclosure verification</dc:subject>
  <dc:creator>Double FW Ltd</dc:creator>
  <cp:keywords>disability, performers, research, RAG, self-disclosure, verification, IMDb</cp:keywords>
  <dc:description>generated by python-docx</dc:description>
  <cp:lastModifiedBy/>
  <cp:revision>1</cp:revision>
  <dcterms:created xsi:type="dcterms:W3CDTF">2013-12-23T23:15:00Z</dcterms:created>
  <dcterms:modified xsi:type="dcterms:W3CDTF">2013-12-23T23:15:00Z</dcterms:modified>
  <cp:category/>
</cp:coreProperties>
</file>