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40" w:after="200" w:line="348" w:lineRule="auto"/>
      </w:pPr>
      <w:r>
        <w:rPr>
          <w:rFonts w:ascii="Segoe UI" w:hAnsi="Segoe UI" w:eastAsia="微软雅黑"/>
          <w:b/>
          <w:color w:val="2E7D6F"/>
          <w:sz w:val="16"/>
        </w:rPr>
        <w:t>HANGZHOU TYCOON  ·  DEVELOPMENT PLAN</w:t>
      </w:r>
    </w:p>
    <w:p>
      <w:pPr>
        <w:spacing w:after="0"/>
      </w:pPr>
      <w:r>
        <w:rPr>
          <w:rFonts w:ascii="Segoe UI" w:hAnsi="Segoe UI" w:eastAsia="微软雅黑"/>
          <w:b/>
          <w:color w:val="1B3A5C"/>
          <w:sz w:val="72"/>
        </w:rPr>
        <w:t>杭州大富翁</w:t>
      </w:r>
    </w:p>
    <w:p>
      <w:pPr>
        <w:spacing w:after="240"/>
      </w:pPr>
      <w:r>
        <w:rPr>
          <w:rFonts w:ascii="Segoe UI" w:hAnsi="Segoe UI" w:eastAsia="微软雅黑"/>
          <w:b/>
          <w:color w:val="1B3A5C"/>
          <w:sz w:val="72"/>
        </w:rPr>
        <w:t>开发计划与评审建议</w:t>
      </w:r>
    </w:p>
    <w:p>
      <w:pPr>
        <w:spacing w:after="520"/>
      </w:pPr>
      <w:r>
        <w:rPr>
          <w:rFonts w:ascii="Segoe UI" w:hAnsi="Segoe UI" w:eastAsia="微软雅黑"/>
          <w:b w:val="0"/>
          <w:color w:val="6B6B6B"/>
          <w:sz w:val="22"/>
        </w:rPr>
        <w:t>V1.2　对齐《需求文档 V1.7》：15 项缺陷已收口，V1.8 九项功能已交付</w:t>
      </w:r>
    </w:p>
    <w:p>
      <w:pPr>
        <w:spacing w:after="360"/>
        <w:pBdr>
          <w:bottom w:val="single" w:sz="20" w:space="1" w:color="2E7D6F"/>
        </w:pBdr>
      </w:pPr>
    </w:p>
    <w:tbl>
      <w:tblPr>
        <w:tblLook w:firstColumn="1" w:firstRow="1" w:lastColumn="0" w:lastRow="0" w:noHBand="0" w:noVBand="1" w:val="04A0"/>
        <w:tblW w:w="9412" w:type="dxa"/>
        <w:tblLayout w:type="fixed"/>
      </w:tblPr>
      <w:tblGrid>
        <w:gridCol w:w="1927"/>
        <w:gridCol w:w="7484"/>
      </w:tblGrid>
      <w:tr>
        <w:tc>
          <w:tcPr>
            <w:tcW w:type="dxa" w:w="1928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19"/>
              </w:rPr>
              <w:t>文档性质</w:t>
            </w:r>
          </w:p>
        </w:tc>
        <w:tc>
          <w:tcPr>
            <w:tcW w:type="dxa" w:w="7483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开发计划 + 执行建议（不替代需求文档，也不记录实现状态）</w:t>
            </w:r>
          </w:p>
        </w:tc>
      </w:tr>
      <w:tr>
        <w:tc>
          <w:tcPr>
            <w:tcW w:type="dxa" w:w="1928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19"/>
              </w:rPr>
              <w:t>上游依据</w:t>
            </w:r>
          </w:p>
        </w:tc>
        <w:tc>
          <w:tcPr>
            <w:tcW w:type="dxa" w:w="7483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《杭州大富翁 游戏开发需求文档》V1.6（缺陷收口版）</w:t>
            </w:r>
          </w:p>
        </w:tc>
      </w:tr>
      <w:tr>
        <w:tc>
          <w:tcPr>
            <w:tcW w:type="dxa" w:w="1928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19"/>
              </w:rPr>
              <w:t>下游产物</w:t>
            </w:r>
          </w:p>
        </w:tc>
        <w:tc>
          <w:tcPr>
            <w:tcW w:type="dxa" w:w="7483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site/docs/impl-status.md —— 由代码与测试生成的实现台账</w:t>
            </w:r>
          </w:p>
        </w:tc>
      </w:tr>
      <w:tr>
        <w:tc>
          <w:tcPr>
            <w:tcW w:type="dxa" w:w="1928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19"/>
              </w:rPr>
              <w:t>编制日期</w:t>
            </w:r>
          </w:p>
        </w:tc>
        <w:tc>
          <w:tcPr>
            <w:tcW w:type="dxa" w:w="7483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2026 年 10 月 25 日</w:t>
            </w:r>
          </w:p>
        </w:tc>
      </w:tr>
      <w:tr>
        <w:tc>
          <w:tcPr>
            <w:tcW w:type="dxa" w:w="1928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19"/>
              </w:rPr>
              <w:t>一句话结论</w:t>
            </w:r>
          </w:p>
        </w:tc>
        <w:tc>
          <w:tcPr>
            <w:tcW w:type="dxa" w:w="7483"/>
          </w:tcPr>
          <w:p>
            <w:pPr>
              <w:spacing w:after="80" w:line="324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三处结构性错配已经消化；现在的风险不在设计，而在文档与代码已分叉，Phase 0 两周用来合上它</w:t>
            </w:r>
          </w:p>
        </w:tc>
      </w:tr>
    </w:tbl>
    <w:p>
      <w:pPr>
        <w:keepNext w:val="0"/>
        <w:spacing w:before="0" w:after="520" w:line="348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nil" w:space="0"/>
          <w:left w:val="single" w:sz="24" w:color="1B3A5C" w:space="0"/>
          <w:bottom w:val="nil" w:space="0"/>
          <w:right w:val="nil" w:space="0"/>
        </w:tblBorders>
        <w:tblCellMar>
          <w:top w:w="120" w:type="dxa"/>
          <w:left w:w="180" w:type="dxa"/>
          <w:bottom w:w="120" w:type="dxa"/>
          <w:right w:w="150" w:type="dxa"/>
        </w:tblCellMar>
        <w:tblW w:w="9412" w:type="dxa"/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EDF3F1"/>
          </w:tcPr>
          <w:p>
            <w:pPr>
              <w:spacing w:after="100" w:line="312" w:lineRule="auto"/>
            </w:pPr>
            <w:r/>
            <w:r>
              <w:rPr>
                <w:rFonts w:ascii="Segoe UI" w:hAnsi="Segoe UI" w:eastAsia="微软雅黑"/>
                <w:b/>
                <w:color w:val="1B3A5C"/>
                <w:sz w:val="20"/>
              </w:rPr>
              <w:t>本版改了什么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V1.0 指出的 15 项问题，已在需求文档 V1.6 中逐条落地——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这一版不再重复论证，只列落点和剩余动作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新增的内容是三样：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15 项现在的状态与 PRD 落点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、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代码审查新发现的 5 项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（其中 2 项是逻辑 bug）、以及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只针对代码的 Phase 0 工作计划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排期总量仍是 22 周。变化在 Phase 0：它从「文档收口」变成了「代码对齐」，因为文档侧已经做完了。</w:t>
            </w:r>
          </w:p>
        </w:tc>
      </w:tr>
    </w:tbl>
    <w:p>
      <w:pPr>
        <w:spacing w:after="120" w:line="240" w:lineRule="auto"/>
      </w:pPr>
      <w:r>
        <w:rPr>
          <w:sz w:val="8"/>
        </w:rPr>
      </w:r>
    </w:p>
    <w:p>
      <w:r>
        <w:br w:type="page"/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1B3A5C"/>
          <w:sz w:val="32"/>
        </w:rPr>
        <w:t>本文怎么读</w:t>
      </w:r>
    </w:p>
    <w:p>
      <w:pPr>
        <w:keepNext w:val="0"/>
        <w:spacing w:before="0" w:after="160" w:line="348" w:lineRule="auto"/>
      </w:pPr>
      <w:r>
        <w:rPr>
          <w:rFonts w:ascii="Segoe UI" w:hAnsi="Segoe UI" w:eastAsia="微软雅黑"/>
          <w:b w:val="0"/>
          <w:sz w:val="20"/>
        </w:rPr>
        <w:t>这一版是执行文档，不是评审报告。按角色读：</w:t>
      </w:r>
    </w:p>
    <w:p>
      <w:pPr>
        <w:spacing w:after="60" w:line="324" w:lineRule="auto"/>
        <w:ind w:left="113"/>
      </w:pPr>
      <w:r>
        <w:rPr>
          <w:rFonts w:ascii="Segoe UI" w:hAnsi="Segoe UI" w:eastAsia="微软雅黑"/>
          <w:b/>
          <w:color w:val="2E7D6F"/>
          <w:sz w:val="20"/>
        </w:rPr>
        <w:t xml:space="preserve">0　</w:t>
      </w:r>
      <w:r>
        <w:rPr>
          <w:rFonts w:ascii="Segoe UI" w:hAnsi="Segoe UI" w:eastAsia="微软雅黑"/>
          <w:b/>
          <w:color w:val="3A2E2A"/>
          <w:sz w:val="20"/>
        </w:rPr>
        <w:t>一页结论</w:t>
      </w:r>
    </w:p>
    <w:p>
      <w:pPr>
        <w:spacing w:after="180" w:line="312" w:lineRule="auto"/>
        <w:ind w:left="709"/>
      </w:pPr>
      <w:r>
        <w:rPr>
          <w:rFonts w:ascii="Segoe UI" w:hAnsi="Segoe UI" w:eastAsia="微软雅黑"/>
          <w:b w:val="0"/>
          <w:color w:val="6B6B6B"/>
          <w:sz w:val="18"/>
        </w:rPr>
        <w:t>现在最大的风险是什么；若只读一页，读这里</w:t>
      </w:r>
    </w:p>
    <w:p>
      <w:pPr>
        <w:spacing w:after="60" w:line="324" w:lineRule="auto"/>
        <w:ind w:left="113"/>
      </w:pPr>
      <w:r>
        <w:rPr>
          <w:rFonts w:ascii="Segoe UI" w:hAnsi="Segoe UI" w:eastAsia="微软雅黑"/>
          <w:b/>
          <w:color w:val="2E7D6F"/>
          <w:sz w:val="20"/>
        </w:rPr>
        <w:t xml:space="preserve">一　</w:t>
      </w:r>
      <w:r>
        <w:rPr>
          <w:rFonts w:ascii="Segoe UI" w:hAnsi="Segoe UI" w:eastAsia="微软雅黑"/>
          <w:b/>
          <w:color w:val="3A2E2A"/>
          <w:sz w:val="20"/>
        </w:rPr>
        <w:t>现状：已收口与仍未收口</w:t>
      </w:r>
    </w:p>
    <w:p>
      <w:pPr>
        <w:spacing w:after="180" w:line="312" w:lineRule="auto"/>
        <w:ind w:left="709"/>
      </w:pPr>
      <w:r>
        <w:rPr>
          <w:rFonts w:ascii="Segoe UI" w:hAnsi="Segoe UI" w:eastAsia="微软雅黑"/>
          <w:b w:val="0"/>
          <w:color w:val="6B6B6B"/>
          <w:sz w:val="18"/>
        </w:rPr>
        <w:t>15 项的处理结果与 PRD 落点；代码审查新发现的 5 项；台账读数</w:t>
      </w:r>
    </w:p>
    <w:p>
      <w:pPr>
        <w:spacing w:after="60" w:line="324" w:lineRule="auto"/>
        <w:ind w:left="113"/>
      </w:pPr>
      <w:r>
        <w:rPr>
          <w:rFonts w:ascii="Segoe UI" w:hAnsi="Segoe UI" w:eastAsia="微软雅黑"/>
          <w:b/>
          <w:color w:val="2E7D6F"/>
          <w:sz w:val="20"/>
        </w:rPr>
        <w:t xml:space="preserve">二　</w:t>
      </w:r>
      <w:r>
        <w:rPr>
          <w:rFonts w:ascii="Segoe UI" w:hAnsi="Segoe UI" w:eastAsia="微软雅黑"/>
          <w:b/>
          <w:color w:val="3A2E2A"/>
          <w:sz w:val="20"/>
        </w:rPr>
        <w:t>开发计划</w:t>
      </w:r>
    </w:p>
    <w:p>
      <w:pPr>
        <w:spacing w:after="180" w:line="312" w:lineRule="auto"/>
        <w:ind w:left="709"/>
      </w:pPr>
      <w:r>
        <w:rPr>
          <w:rFonts w:ascii="Segoe UI" w:hAnsi="Segoe UI" w:eastAsia="微软雅黑"/>
          <w:b w:val="0"/>
          <w:color w:val="6B6B6B"/>
          <w:sz w:val="18"/>
        </w:rPr>
        <w:t>22 周六阶段、关键路径、Phase 0 与 Phase 1 逐周 WBS、验收标准、风险</w:t>
      </w:r>
    </w:p>
    <w:p>
      <w:pPr>
        <w:spacing w:after="60" w:line="324" w:lineRule="auto"/>
        <w:ind w:left="113"/>
      </w:pPr>
      <w:r>
        <w:rPr>
          <w:rFonts w:ascii="Segoe UI" w:hAnsi="Segoe UI" w:eastAsia="微软雅黑"/>
          <w:b/>
          <w:color w:val="2E7D6F"/>
          <w:sz w:val="20"/>
        </w:rPr>
        <w:t xml:space="preserve">三　</w:t>
      </w:r>
      <w:r>
        <w:rPr>
          <w:rFonts w:ascii="Segoe UI" w:hAnsi="Segoe UI" w:eastAsia="微软雅黑"/>
          <w:b/>
          <w:color w:val="3A2E2A"/>
          <w:sz w:val="20"/>
        </w:rPr>
        <w:t>开发建议</w:t>
      </w:r>
    </w:p>
    <w:p>
      <w:pPr>
        <w:spacing w:after="180" w:line="312" w:lineRule="auto"/>
        <w:ind w:left="709"/>
      </w:pPr>
      <w:r>
        <w:rPr>
          <w:rFonts w:ascii="Segoe UI" w:hAnsi="Segoe UI" w:eastAsia="微软雅黑"/>
          <w:b w:val="0"/>
          <w:color w:val="6B6B6B"/>
          <w:sz w:val="18"/>
        </w:rPr>
        <w:t>本轮聚焦代码侧：经济地基 5 条、工程 3 条、商业 2 条</w:t>
      </w:r>
    </w:p>
    <w:p>
      <w:pPr>
        <w:spacing w:after="60" w:line="324" w:lineRule="auto"/>
        <w:ind w:left="113"/>
      </w:pPr>
      <w:r>
        <w:rPr>
          <w:rFonts w:ascii="Segoe UI" w:hAnsi="Segoe UI" w:eastAsia="微软雅黑"/>
          <w:b/>
          <w:color w:val="2E7D6F"/>
          <w:sz w:val="20"/>
        </w:rPr>
        <w:t xml:space="preserve">四　</w:t>
      </w:r>
      <w:r>
        <w:rPr>
          <w:rFonts w:ascii="Segoe UI" w:hAnsi="Segoe UI" w:eastAsia="微软雅黑"/>
          <w:b/>
          <w:color w:val="3A2E2A"/>
          <w:sz w:val="20"/>
        </w:rPr>
        <w:t>两周行动清单</w:t>
      </w:r>
    </w:p>
    <w:p>
      <w:pPr>
        <w:spacing w:after="180" w:line="312" w:lineRule="auto"/>
        <w:ind w:left="709"/>
      </w:pPr>
      <w:r>
        <w:rPr>
          <w:rFonts w:ascii="Segoe UI" w:hAnsi="Segoe UI" w:eastAsia="微软雅黑"/>
          <w:b w:val="0"/>
          <w:color w:val="6B6B6B"/>
          <w:sz w:val="18"/>
        </w:rPr>
        <w:t>Phase 0 的 10 个动作，按天排</w:t>
      </w:r>
    </w:p>
    <w:p>
      <w:pPr>
        <w:spacing w:after="60" w:line="324" w:lineRule="auto"/>
        <w:ind w:left="113"/>
      </w:pPr>
      <w:r>
        <w:rPr>
          <w:rFonts w:ascii="Segoe UI" w:hAnsi="Segoe UI" w:eastAsia="微软雅黑"/>
          <w:b/>
          <w:color w:val="2E7D6F"/>
          <w:sz w:val="20"/>
        </w:rPr>
        <w:t xml:space="preserve">附录 A　</w:t>
      </w:r>
      <w:r>
        <w:rPr>
          <w:rFonts w:ascii="Segoe UI" w:hAnsi="Segoe UI" w:eastAsia="微软雅黑"/>
          <w:b/>
          <w:color w:val="3A2E2A"/>
          <w:sz w:val="20"/>
        </w:rPr>
        <w:t>五项口径改动的数值影响</w:t>
      </w:r>
    </w:p>
    <w:p>
      <w:pPr>
        <w:spacing w:after="180" w:line="312" w:lineRule="auto"/>
        <w:ind w:left="709"/>
      </w:pPr>
      <w:r>
        <w:rPr>
          <w:rFonts w:ascii="Segoe UI" w:hAnsi="Segoe UI" w:eastAsia="微软雅黑"/>
          <w:b w:val="0"/>
          <w:color w:val="6B6B6B"/>
          <w:sz w:val="18"/>
        </w:rPr>
        <w:t>升级 ROI 重算、上限 25%、空置率、利率修复的估算与预期</w:t>
      </w:r>
    </w:p>
    <w:p>
      <w:pPr>
        <w:keepNext w:val="0"/>
        <w:spacing w:before="0" w:after="40" w:line="348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nil" w:space="0"/>
          <w:left w:val="single" w:sz="24" w:color="2E7D6F" w:space="0"/>
          <w:bottom w:val="nil" w:space="0"/>
          <w:right w:val="nil" w:space="0"/>
        </w:tblBorders>
        <w:tblCellMar>
          <w:top w:w="120" w:type="dxa"/>
          <w:left w:w="180" w:type="dxa"/>
          <w:bottom w:w="120" w:type="dxa"/>
          <w:right w:w="150" w:type="dxa"/>
        </w:tblCellMar>
        <w:tblW w:w="9412" w:type="dxa"/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0E6"/>
          </w:tcPr>
          <w:p>
            <w:pPr>
              <w:spacing w:after="100" w:line="312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20"/>
              </w:rPr>
              <w:t>三份产物，各管一段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/>
                <w:color w:val="3A2E2A"/>
                <w:sz w:val="19"/>
              </w:rPr>
              <w:t>需求文档 V1.6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 xml:space="preserve"> 写“应该是什么”——规则、公式、验收判据。它不再记录进度，因此不会过期。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/>
                <w:color w:val="3A2E2A"/>
                <w:sz w:val="19"/>
              </w:rPr>
              <w:t>本文档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写“怎么做到、按什么顺序”——问题清单、排期、WBS、风险。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/>
                <w:color w:val="3A2E2A"/>
                <w:sz w:val="19"/>
              </w:rPr>
              <w:t>site/docs/impl-status.md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 xml:space="preserve"> 写“现在是怎样”——参数快照、逐项状态、偏差、模拟基线，由代码与测试生成。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三者的关系是单向的：PRD 定目标 → 台账量差距 → 本文排消除差距的顺序。任何一方单独更新都会立刻失真。</w:t>
            </w:r>
          </w:p>
        </w:tc>
      </w:tr>
    </w:tbl>
    <w:p>
      <w:pPr>
        <w:spacing w:after="120" w:line="240" w:lineRule="auto"/>
      </w:pPr>
      <w:r>
        <w:rPr>
          <w:sz w:val="8"/>
        </w:rPr>
      </w:r>
    </w:p>
    <w:p>
      <w:r>
        <w:br w:type="page"/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2E7D6F"/>
          <w:sz w:val="32"/>
        </w:rPr>
        <w:t xml:space="preserve">0  </w:t>
      </w:r>
      <w:r>
        <w:rPr>
          <w:rFonts w:ascii="Segoe UI" w:hAnsi="Segoe UI" w:eastAsia="微软雅黑"/>
          <w:b/>
          <w:color w:val="1B3A5C"/>
          <w:sz w:val="32"/>
        </w:rPr>
        <w:t>一页结论</w:t>
      </w:r>
    </w:p>
    <w:tbl>
      <w:tblPr>
        <w:jc w:val="center"/>
        <w:tblLook w:firstColumn="1" w:firstRow="1" w:lastColumn="0" w:lastRow="0" w:noHBand="0" w:noVBand="1" w:val="04A0"/>
        <w:tblBorders>
          <w:top w:val="nil" w:space="0"/>
          <w:left w:val="single" w:sz="24" w:color="2E7D6F" w:space="0"/>
          <w:bottom w:val="nil" w:space="0"/>
          <w:right w:val="nil" w:space="0"/>
        </w:tblBorders>
        <w:tblCellMar>
          <w:top w:w="120" w:type="dxa"/>
          <w:left w:w="180" w:type="dxa"/>
          <w:bottom w:w="120" w:type="dxa"/>
          <w:right w:w="150" w:type="dxa"/>
        </w:tblCellMar>
        <w:tblW w:w="9412" w:type="dxa"/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0E6"/>
          </w:tcPr>
          <w:p>
            <w:pPr>
              <w:spacing w:after="100" w:line="312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20"/>
              </w:rPr>
              <w:t>结论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上一版指出的三处结构性错配，本轮已经全部消化。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M1 的定义落地了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（1.7 的 D9 定为“逻辑层续做 + 表现层 Phaser 3 重写”）；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变现路径落地了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（D11 双版本首发，聚合平台拿量、自建站拿 eCPM）；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资金流口径修正了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（8.7 把月租金计入系统注入，目标从“注入 ≤ 转移 50%”改为“注入 : 转移 ≤ 3 : 1”）。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/>
                <w:color w:val="3A2E2A"/>
                <w:sz w:val="19"/>
              </w:rPr>
              <w:t>风险因此换了位置。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 xml:space="preserve"> 现在最大的问题不是想不清楚，而是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文档与代码已经分叉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：文档按新一轮口径改了五处经济地基，代码还停在旧值上。台账逐项比对后是 10 项偏差，其中 4 项直接决定平衡（上限 30%→25%、升级 60/12→30/30、租金率每级 +0.3%→+0.5%、空置率未实现），2 项是逻辑 bug（贷款利率被全员打八折、清算清偿分支不可达）。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/>
                <w:color w:val="3A2E2A"/>
                <w:sz w:val="19"/>
              </w:rPr>
              <w:t>为什么必须一次做完。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 xml:space="preserve"> 这五项互相咬合：只改升级 ROI 不改租金率，升级仍然不划算；只加空置率不修利率，成本又被低估。分两次做意味着平衡要重标定两遍，而每遍 200 局模拟 + 人工调参至少三天。所以 Phase 0 的验收标准是“五项同批进代码，一次重跑”。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/>
                <w:color w:val="3A2E2A"/>
                <w:sz w:val="19"/>
              </w:rPr>
              <w:t>唯一可能推翻整个计划的事仍然没解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：运营主体与域名。它卡住 AdSense 审核（外部 1—2 周），也卡住隐私政策署名。如果它到 W2 还没定，后面 20 周的排期全部平移——这跟技术无关，是行政前置。</w:t>
            </w:r>
          </w:p>
        </w:tc>
      </w:tr>
    </w:tbl>
    <w:p>
      <w:pPr>
        <w:spacing w:after="120" w:line="240" w:lineRule="auto"/>
      </w:pPr>
      <w:r>
        <w:rPr>
          <w:sz w:val="8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关键数字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587"/>
        <w:gridCol w:w="3515"/>
        <w:gridCol w:w="4309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3515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值</w:t>
            </w:r>
          </w:p>
        </w:tc>
        <w:tc>
          <w:tcPr>
            <w:tcW w:type="dxa" w:w="4309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总周期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22 周（约 5.5 个月）</w:t>
            </w:r>
          </w:p>
        </w:tc>
        <w:tc>
          <w:tcPr>
            <w:tcW w:type="dxa" w:w="4309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Phase 0 两周 + M1 六周 + M2 八周 + M2.5 两周 + M3 四周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Phase 0 性质</w:t>
            </w:r>
          </w:p>
        </w:tc>
        <w:tc>
          <w:tcPr>
            <w:tcW w:type="dxa" w:w="351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代码对齐（文档侧已完成）</w:t>
            </w:r>
          </w:p>
        </w:tc>
        <w:tc>
          <w:tcPr>
            <w:tcW w:type="dxa" w:w="4309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五项经济地基 + 三项逻辑修复 + 基线重跑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首发内容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第一、二章（96 回合）</w:t>
            </w:r>
          </w:p>
        </w:tc>
        <w:tc>
          <w:tcPr>
            <w:tcW w:type="dxa" w:w="4309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沿用 12.1 的 MVP 判断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首发渠道</w:t>
            </w:r>
          </w:p>
        </w:tc>
        <w:tc>
          <w:tcPr>
            <w:tcW w:type="dxa" w:w="351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双版本：聚合平台版 + 自建站版</w:t>
            </w:r>
          </w:p>
        </w:tc>
        <w:tc>
          <w:tcPr>
            <w:tcW w:type="dxa" w:w="4309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D11 已定；共用同一份游戏代码，只换 AdService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人力峰值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6.5 人</w:t>
            </w:r>
          </w:p>
        </w:tc>
        <w:tc>
          <w:tcPr>
            <w:tcW w:type="dxa" w:w="4309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2 客户端 / 2 美术 / 1 主策 / 1 系统 / 0.5 测试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最脆弱的环节</w:t>
            </w:r>
          </w:p>
        </w:tc>
        <w:tc>
          <w:tcPr>
            <w:tcW w:type="dxa" w:w="351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运营主体 + 域名 → 广告账号审核</w:t>
            </w:r>
          </w:p>
        </w:tc>
        <w:tc>
          <w:tcPr>
            <w:tcW w:type="dxa" w:w="4309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唯一不受团队控制的外部环节，W1 必须启动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3A2E2A"/>
                <w:sz w:val="17"/>
              </w:rPr>
              <w:t>预期平衡落点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破产 1—2 人/局（现 0.5）</w:t>
            </w:r>
          </w:p>
        </w:tc>
        <w:tc>
          <w:tcPr>
            <w:tcW w:type="dxa" w:w="4309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7"/>
              </w:rPr>
              <w:t>五项改动合并后的方向性预期，须用 sim 验证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r>
        <w:br w:type="page"/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2E7D6F"/>
          <w:sz w:val="32"/>
        </w:rPr>
        <w:t xml:space="preserve">一  </w:t>
      </w:r>
      <w:r>
        <w:rPr>
          <w:rFonts w:ascii="Segoe UI" w:hAnsi="Segoe UI" w:eastAsia="微软雅黑"/>
          <w:b/>
          <w:color w:val="1B3A5C"/>
          <w:sz w:val="32"/>
        </w:rPr>
        <w:t>现状：已收口与仍未收口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1.1 15 项问题现在的状态</w:t>
      </w:r>
    </w:p>
    <w:p>
      <w:pPr>
        <w:keepNext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下表是 V1.0 那份问题清单的结账单。左半是当时的判断，右半是它落到了 PRD 的哪一节。只有两项需要说明：P1-6 复查后确认代码的热度系数已经是 0.6—1.4，属于“文档正确、旧结论过时”，直接关闭；P2-1 只改了人力与首发范围，6.4 的资产规格没动。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737"/>
        <w:gridCol w:w="2835"/>
        <w:gridCol w:w="3742"/>
        <w:gridCol w:w="2097"/>
      </w:tblGrid>
      <w:tr>
        <w:trPr>
          <w:tblHeader w:val="true"/>
          <w:cantSplit w:val="true"/>
        </w:trPr>
        <w:tc>
          <w:tcPr>
            <w:tcW w:type="dxa" w:w="73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835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3742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处置结果</w:t>
            </w:r>
          </w:p>
        </w:tc>
        <w:tc>
          <w:tcPr>
            <w:tcW w:type="dxa" w:w="2098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PRD 落点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P0-1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M1 交付物未定义（Cocos vs 原生原型）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：D9 定稿“逻辑层续做 + 表现层 Phaser 3 重写”；M1 交付物与验收重写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1.7 D9｜10.1 结论｜10.2 判据｜12.2 M1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P0-2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纯广告缺流量入口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：D11 双版本首发，聚合平台负责量、自建站负责 eCPM；第十五章删去该项待议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1.7 D11｜11.1｜11.2｜十五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P0-3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月租金未计入系统注入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：8.7 重写注入口径，加入注入:转移 ≤3:1；新增空置率让租金承担风险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8.7｜3.5 空置率｜附录 B 术语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P0-4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升级是负期望（60% 费用 / 12% 估值）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：升级费 30%、估值 30%/级、租金每级 +0.5%，账面严格中性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3.4｜3.5｜2.4｜附录 C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P0-5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版本治理失控（六处互相矛盾）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：实现状态移出 PRD，第十四章改为验收判据；附录 C 改为设计口径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十四｜附录 C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P1-1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地图环数不一致（3 环 vs 4 环 64 宗）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：定为四环、每章一环、每环 16 宗 = 64 宗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3.1｜附录 A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P1-2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政策中心 / 摇号中心 / 换乘点口径冲突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：明确棋盘不设这三类格子，机制一律由事件表驱动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3.7｜5.1｜5.2｜4.1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P1-3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租金公式双重计热度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：删除第二个热度系数，热度只在地价里体现一次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3.5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P1-4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现金流红线 25% 与上限 30% 打架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：统一为 25%；杠杆 &gt;50% 不设上限，且新增利率上浮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3.5｜8.2｜8.3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P1-5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卡牌数量三处不一致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：以代码为准 —— 31 事件 / 16 政策（首批 5）/ 25 机会 / 26 命运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5.1｜附录 C｜12.3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P1-6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D1 热度系数让板块轮动无感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关闭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：复查 site/game.js，`heatF()` 已是 0.6 + 0.8×热度/100，旧结论过时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3.6（口径无误）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P2-1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美术量被低估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部分收口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：12.3 人力与 6.4 首发范围改为“3 角色 + 建筑模板 + 卡面模板”；资产规格未动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6.4｜12.3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P2-2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25 分钟章节 vs 10 分钟会话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：每 8—12 回合插入期中小结（兼自动存档）+ 回归摘要卡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2.3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P2-3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指标不可验收（≥90 分钟未定义周期）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：改为章均 25±5 分钟 + 周游玩 ≥3 次 + D7 留存</w:t>
            </w:r>
          </w:p>
        </w:tc>
        <w:tc>
          <w:tcPr>
            <w:tcW w:type="dxa" w:w="209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1.4｜14.2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P2-4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负面事件绑定真实板块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已收口</w:t>
            </w:r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：负面事件统一“某板块”+ 随机绑定；正面事件保留真名</w:t>
            </w:r>
          </w:p>
        </w:tc>
        <w:tc>
          <w:tcPr>
            <w:tcW w:type="dxa" w:w="209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13.1｜4.1｜5.2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1.2 代码审查新发现（V1.0 评审时看不到，因为代码刚拿到）</w:t>
      </w:r>
    </w:p>
    <w:p>
      <w:pPr>
        <w:keepNext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site/ 拷进来之后，第一件事是把它当成事实来源复核。结果发现 5 项原报告没提的问题，其中两项是逻辑 bug，不是调参问题。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680"/>
        <w:gridCol w:w="3742"/>
        <w:gridCol w:w="1927"/>
        <w:gridCol w:w="1077"/>
        <w:gridCol w:w="1984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3742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新发现</w:t>
            </w:r>
          </w:p>
        </w:tc>
        <w:tc>
          <w:tcPr>
            <w:tcW w:type="dxa" w:w="1928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证据</w:t>
            </w:r>
          </w:p>
        </w:tc>
        <w:tc>
          <w:tcPr>
            <w:tcW w:type="dxa" w:w="107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性质</w:t>
            </w:r>
          </w:p>
        </w:tc>
        <w:tc>
          <w:tcPr>
            <w:tcW w:type="dxa" w:w="198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处置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N1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贷款利率对所有角色都打了八折。`loanRate()` 统一 ×0.8，实际 0.48%/月；温老板“利息 −20%”的被动被错施给了所有人</w:t>
            </w:r>
          </w:p>
        </w:tc>
        <w:tc>
          <w:tcPr>
            <w:tcW w:type="dxa" w:w="192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game.js `loanRate()`</w:t>
            </w:r>
          </w:p>
        </w:tc>
        <w:tc>
          <w:tcPr>
            <w:tcW w:type="dxa" w:w="10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逻辑 bug</w:t>
            </w:r>
          </w:p>
        </w:tc>
        <w:tc>
          <w:tcPr>
            <w:tcW w:type="dxa" w:w="198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把 ×0.8 移进温老板分支；其余角色恢复 0.6%/月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N2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清算拍卖不足以清偿。地块按 value×(1+12%×等级) 计入净资产，拍卖只给 85%、抵押只给 70%，“拍卖后债务清零”的分支永远不可达，清算必然走向出局</w:t>
            </w:r>
          </w:p>
        </w:tc>
        <w:tc>
          <w:tcPr>
            <w:tcW w:type="dxa" w:w="192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game.js `netWorth()` / `liquidate()`</w:t>
            </w:r>
          </w:p>
        </w:tc>
        <w:tc>
          <w:tcPr>
            <w:tcW w:type="dxa" w:w="107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B03A2E"/>
                <w:sz w:val="15"/>
              </w:rPr>
              <w:t>规则缺陷</w:t>
            </w:r>
          </w:p>
        </w:tc>
        <w:tc>
          <w:tcPr>
            <w:tcW w:type="dxa" w:w="198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随 P0-4 的估值系数调整一并修：30%/级 + 85% 拍卖后账面可平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N3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政策条切章后标签丢失。`nextChapter()` 清空 mods，热度影响仍在但玩家看不到在生效什么</w:t>
            </w:r>
          </w:p>
        </w:tc>
        <w:tc>
          <w:tcPr>
            <w:tcW w:type="dxa" w:w="192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game.js `nextChapter()`</w:t>
            </w:r>
          </w:p>
        </w:tc>
        <w:tc>
          <w:tcPr>
            <w:tcW w:type="dxa" w:w="10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体验缺陷</w:t>
            </w:r>
          </w:p>
        </w:tc>
        <w:tc>
          <w:tcPr>
            <w:tcW w:type="dxa" w:w="198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保留未到期项；Phase 0 顺手修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N4</w:t>
            </w:r>
          </w:p>
        </w:tc>
        <w:tc>
          <w:tcPr>
            <w:tcW w:type="dxa" w:w="374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税务是单一税率（净资产 1.2%），不是文档要求的“持有 ≥4 套起累进”</w:t>
            </w:r>
          </w:p>
        </w:tc>
        <w:tc>
          <w:tcPr>
            <w:tcW w:type="dxa" w:w="192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data.js `CFG.taxRate`</w:t>
            </w:r>
          </w:p>
        </w:tc>
        <w:tc>
          <w:tcPr>
            <w:tcW w:type="dxa" w:w="107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偏差</w:t>
            </w:r>
          </w:p>
        </w:tc>
        <w:tc>
          <w:tcPr>
            <w:tcW w:type="dxa" w:w="198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P2 实现累进；本版把文档口径固定为累进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N5</w:t>
            </w:r>
          </w:p>
        </w:tc>
        <w:tc>
          <w:tcPr>
            <w:tcW w:type="dxa" w:w="374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升级门槛实际为热度 30/45/60/75，文档原写 30/50/65/80</w:t>
            </w:r>
          </w:p>
        </w:tc>
        <w:tc>
          <w:tcPr>
            <w:tcW w:type="dxa" w:w="192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game.js `UP_GATE`</w:t>
            </w:r>
          </w:p>
        </w:tc>
        <w:tc>
          <w:tcPr>
            <w:tcW w:type="dxa" w:w="107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偏差（文档错）</w:t>
            </w:r>
          </w:p>
        </w:tc>
        <w:tc>
          <w:tcPr>
            <w:tcW w:type="dxa" w:w="198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以代码为准，文档 V1.6 已改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1.3 台账读数：现在离目标还有多远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587"/>
        <w:gridCol w:w="3061"/>
        <w:gridCol w:w="1474"/>
        <w:gridCol w:w="3288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06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当前（v1.6.2 实测）</w:t>
            </w:r>
          </w:p>
        </w:tc>
        <w:tc>
          <w:tcPr>
            <w:tcW w:type="dxa" w:w="147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288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判读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破产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3 / 24 人次 ≈ 12.5%（0.5 人/局）</w:t>
            </w:r>
          </w:p>
        </w:tc>
        <w:tc>
          <w:tcPr>
            <w:tcW w:type="dxa" w:w="147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1—4 人/局</w:t>
            </w:r>
          </w:p>
        </w:tc>
        <w:tc>
          <w:tcPr>
            <w:tcW w:type="dxa" w:w="328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6"/>
              </w:rPr>
              <w:t>不达标</w:t>
            </w:r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。根因是租金零风险（无空置率）+ 利率被低估（N1）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过路费总额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11,313 万</w:t>
            </w:r>
          </w:p>
        </w:tc>
        <w:tc>
          <w:tcPr>
            <w:tcW w:type="dxa" w:w="147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—</w:t>
            </w:r>
          </w:p>
        </w:tc>
        <w:tc>
          <w:tcPr>
            <w:tcW w:type="dxa" w:w="328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结构正常；单笔均值 48 万，未触发上限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中位净资产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1,124 万</w:t>
            </w:r>
          </w:p>
        </w:tc>
        <w:tc>
          <w:tcPr>
            <w:tcW w:type="dxa" w:w="147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—</w:t>
            </w:r>
          </w:p>
        </w:tc>
        <w:tc>
          <w:tcPr>
            <w:tcW w:type="dxa" w:w="328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头尾比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4,518 / 中位 ≈ 4.0</w:t>
            </w:r>
          </w:p>
        </w:tc>
        <w:tc>
          <w:tcPr>
            <w:tcW w:type="dxa" w:w="147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1.8—3.5</w:t>
            </w:r>
          </w:p>
        </w:tc>
        <w:tc>
          <w:tcPr>
            <w:tcW w:type="dxa" w:w="328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略偏大，滚雪球稍强；空置率会压一压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人均升级次数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未统计</w:t>
            </w:r>
          </w:p>
        </w:tc>
        <w:tc>
          <w:tcPr>
            <w:tcW w:type="dxa" w:w="147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≥4 次/局</w:t>
            </w:r>
          </w:p>
        </w:tc>
        <w:tc>
          <w:tcPr>
            <w:tcW w:type="dxa" w:w="328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6"/>
              </w:rPr>
              <w:t>新增观测项</w:t>
            </w:r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。修好 ROI 后必须能看到这个数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终局中位杠杆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约 19%</w:t>
            </w:r>
          </w:p>
        </w:tc>
        <w:tc>
          <w:tcPr>
            <w:tcW w:type="dxa" w:w="147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20%—40%</w:t>
            </w:r>
          </w:p>
        </w:tc>
        <w:tc>
          <w:tcPr>
            <w:tcW w:type="dxa" w:w="328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偏低，说明借钱不划算——与 N1 的利率低估方向一致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数据来自 site/CHANGELOG 的 v1.5 实测与 README“已知问题”，与 PRD 14.7 同源。Phase 0 的五项改动做完后必须重跑同一批指标并回填 impl-status.md。</w:t>
      </w:r>
    </w:p>
    <w:p>
      <w:pPr>
        <w:spacing w:before="240" w:after="80"/>
      </w:pPr>
      <w:r>
        <w:rPr>
          <w:rFonts w:ascii="微软雅黑" w:hAnsi="微软雅黑"/>
          <w:b/>
          <w:color w:val="2E7D6F"/>
          <w:sz w:val="23"/>
          <w:rFonts w:ascii="微软雅黑" w:hAnsi="微软雅黑" w:eastAsia="微软雅黑"/>
        </w:rPr>
        <w:t>1.4 V1.9—V2.0 已交付（视觉四轮 + 棋盘重构）</w:t>
      </w:r>
    </w:p>
    <w:p>
      <w:pPr>
        <w:spacing w:after="80" w:line="341" w:lineRule="auto"/>
        <w:ind w:left="113"/>
      </w:pPr>
      <w:r>
        <w:rPr>
          <w:color w:val="3A2E2A"/>
          <w:sz w:val="20"/>
        </w:rPr>
        <w:t>从 v1.9 到 v2.0，代码侧又推了三轮，集中在表现层与布局，规则只动了一处（监狱）：</w:t>
      </w:r>
    </w:p>
    <w:p>
      <w:pPr>
        <w:spacing w:after="80" w:line="341" w:lineRule="auto"/>
        <w:ind w:left="369" w:hanging="255"/>
      </w:pPr>
      <w:r>
        <w:rPr>
          <w:b/>
          <w:color w:val="2E7D6F"/>
          <w:sz w:val="20"/>
        </w:rPr>
        <w:t xml:space="preserve">· </w:t>
      </w:r>
      <w:r>
        <w:rPr>
          <w:b/>
          <w:color w:val="3A2E2A"/>
          <w:sz w:val="20"/>
        </w:rPr>
        <w:t>v1.9.x</w:t>
      </w:r>
      <w:r>
        <w:rPr>
          <w:color w:val="3A2E2A"/>
          <w:sz w:val="20"/>
        </w:rPr>
        <w:t>：卫星底图、五级建筑立面、围棋盘 + 各章地铁线网、八套材质；随后修掉双栏塌陷、棋子比例、立面蒙层、格线不可见四处问题。</w:t>
      </w:r>
    </w:p>
    <w:p>
      <w:pPr>
        <w:spacing w:after="80" w:line="341" w:lineRule="auto"/>
        <w:ind w:left="369" w:hanging="255"/>
      </w:pPr>
      <w:r>
        <w:rPr>
          <w:b/>
          <w:color w:val="2E7D6F"/>
          <w:sz w:val="20"/>
        </w:rPr>
        <w:t xml:space="preserve">· </w:t>
      </w:r>
      <w:r>
        <w:rPr>
          <w:b/>
          <w:color w:val="3A2E2A"/>
          <w:sz w:val="20"/>
        </w:rPr>
        <w:t>v1.10</w:t>
      </w:r>
      <w:r>
        <w:rPr>
          <w:color w:val="3A2E2A"/>
          <w:sz w:val="20"/>
        </w:rPr>
        <w:t>：建筑移入内圈独立层、界面字号全局 ×2、侧栏宽度按棋盘等比缩放。</w:t>
      </w:r>
    </w:p>
    <w:p>
      <w:pPr>
        <w:spacing w:after="80" w:line="341" w:lineRule="auto"/>
        <w:ind w:left="369" w:hanging="255"/>
      </w:pPr>
      <w:r>
        <w:rPr>
          <w:b/>
          <w:color w:val="2E7D6F"/>
          <w:sz w:val="20"/>
        </w:rPr>
        <w:t xml:space="preserve">· </w:t>
      </w:r>
      <w:r>
        <w:rPr>
          <w:b/>
          <w:color w:val="3A2E2A"/>
          <w:sz w:val="20"/>
        </w:rPr>
        <w:t>v2.0</w:t>
      </w:r>
      <w:r>
        <w:rPr>
          <w:color w:val="3A2E2A"/>
          <w:sz w:val="20"/>
        </w:rPr>
        <w:t>：棋盘从圆形 26 格改为 7×7 方环 24 格；监狱移出环线、置于中心（只能被卡牌送进去）；每块地在外圈有常驻房产位（黑框 + 紫框，Lv1—Lv5 画在框内）。</w:t>
      </w:r>
    </w:p>
    <w:p>
      <w:pPr>
        <w:spacing w:after="80" w:line="341" w:lineRule="auto"/>
        <w:ind w:left="113"/>
      </w:pPr>
      <w:r>
        <w:rPr>
          <w:color w:val="3A2E2A"/>
          <w:sz w:val="20"/>
        </w:rPr>
        <w:t>对排期的影响：M1 里「棋盘渲染 / 玩家栏 / 证券面板 / 建筑表现」都已有原生实现，Phaser 重写时是「迁」而不是「设计」；但经济地基没动，M1 之前仍要留出 Phase 0 的两周。</w:t>
      </w:r>
    </w:p>
    <w:p>
      <w:pPr>
        <w:spacing w:before="240" w:after="80"/>
      </w:pPr>
      <w:r>
        <w:rPr>
          <w:rFonts w:ascii="微软雅黑" w:hAnsi="微软雅黑"/>
          <w:b/>
          <w:color w:val="2E7D6F"/>
          <w:sz w:val="23"/>
          <w:rFonts w:ascii="微软雅黑" w:hAnsi="微软雅黑" w:eastAsia="微软雅黑"/>
        </w:rPr>
        <w:t>1.5 沙箱里没有浏览器：视觉回归改用「快照预览」</w:t>
      </w:r>
    </w:p>
    <w:p>
      <w:pPr>
        <w:spacing w:after="80" w:line="341" w:lineRule="auto"/>
        <w:ind w:left="113"/>
      </w:pPr>
      <w:r>
        <w:rPr>
          <w:color w:val="3A2E2A"/>
          <w:sz w:val="20"/>
        </w:rPr>
        <w:t>本机的 Chrome / Edge 在沙箱里都起不来（crashpad_client_win.cc: OpenProcess 拒绝访问，崩溃处理器无法附加），没有 playwright / puppeteer，外网不通也装不了。前四轮的视觉改动只能靠数值推演，这正是「内圈建筑挤掉名字」「侧栏塌成三列」「商店格显示 undefined」这类问题反复出现的原因。</w:t>
      </w:r>
    </w:p>
    <w:p>
      <w:pPr>
        <w:spacing w:after="80" w:line="341" w:lineRule="auto"/>
        <w:ind w:left="113"/>
      </w:pPr>
      <w:r>
        <w:rPr>
          <w:color w:val="3A2E2A"/>
          <w:sz w:val="20"/>
        </w:rPr>
        <w:t>已补上一条不依赖浏览器的预览管线：tools/board-preview.js 用游戏自己的几何函数（ringPos / cellPct / slotPct）与建筑矢量导出 SVG + JSON，tools/render_preview.py 再用 Pillow 出 PNG。改棋盘、改棋子尺寸、改房产位时先看这张图再动手，比盲调省一轮。</w:t>
      </w:r>
    </w:p>
    <w:p>
      <w:pPr>
        <w:spacing w:after="80" w:line="341" w:lineRule="auto"/>
        <w:ind w:left="113"/>
      </w:pPr>
      <w:r>
        <w:rPr>
          <w:color w:val="3A2E2A"/>
          <w:sz w:val="20"/>
        </w:rPr>
        <w:t>局限也要写清楚：它只验证几何（位置、间距、是否重叠、文字是否装得下），不验证 CSS 与字体。配色、阴影、缩放效果仍然只能由人在真机上确认。</w:t>
      </w:r>
    </w:p>
    <w:p>
      <w:pPr>
        <w:spacing w:before="240" w:after="80"/>
      </w:pPr>
      <w:r>
        <w:rPr>
          <w:rFonts w:ascii="微软雅黑" w:hAnsi="微软雅黑"/>
          <w:b/>
          <w:color w:val="2E7D6F"/>
          <w:sz w:val="23"/>
          <w:rFonts w:ascii="微软雅黑" w:hAnsi="微软雅黑" w:eastAsia="微软雅黑"/>
        </w:rPr>
        <w:t>1.6 仍未做的一件事：Phase 0 的五项经济地基</w:t>
      </w:r>
    </w:p>
    <w:p>
      <w:pPr>
        <w:spacing w:after="80" w:line="341" w:lineRule="auto"/>
        <w:ind w:left="113"/>
      </w:pPr>
      <w:r>
        <w:rPr>
          <w:color w:val="3A2E2A"/>
          <w:sz w:val="20"/>
        </w:rPr>
        <w:t>从 v1.6 收口文档到现在，视觉与交互推了四轮，但经济地基一项都没动。代码里仍是旧值，与需求文档 V2.0 的口径差五项：</w:t>
      </w:r>
    </w:p>
    <w:p>
      <w:pPr>
        <w:spacing w:after="80" w:line="341" w:lineRule="auto"/>
        <w:ind w:left="369" w:hanging="255"/>
      </w:pPr>
      <w:r>
        <w:rPr>
          <w:b/>
          <w:color w:val="2E7D6F"/>
          <w:sz w:val="20"/>
        </w:rPr>
        <w:t xml:space="preserve">· </w:t>
      </w:r>
      <w:r>
        <w:rPr>
          <w:b/>
          <w:color w:val="3A2E2A"/>
          <w:sz w:val="20"/>
        </w:rPr>
        <w:t>过路费单次上限</w:t>
      </w:r>
      <w:r>
        <w:rPr>
          <w:color w:val="3A2E2A"/>
          <w:sz w:val="20"/>
        </w:rPr>
        <w:t>：代码 30%，文档 25%。</w:t>
      </w:r>
    </w:p>
    <w:p>
      <w:pPr>
        <w:spacing w:after="80" w:line="341" w:lineRule="auto"/>
        <w:ind w:left="369" w:hanging="255"/>
      </w:pPr>
      <w:r>
        <w:rPr>
          <w:b/>
          <w:color w:val="2E7D6F"/>
          <w:sz w:val="20"/>
        </w:rPr>
        <w:t xml:space="preserve">· </w:t>
      </w:r>
      <w:r>
        <w:rPr>
          <w:b/>
          <w:color w:val="3A2E2A"/>
          <w:sz w:val="20"/>
        </w:rPr>
        <w:t>升级费</w:t>
      </w:r>
      <w:r>
        <w:rPr>
          <w:color w:val="3A2E2A"/>
          <w:sz w:val="20"/>
        </w:rPr>
        <w:t>：代码 60% 地价，文档 30%；估值系数代码 12%/级，文档 30%/级。</w:t>
      </w:r>
    </w:p>
    <w:p>
      <w:pPr>
        <w:spacing w:after="80" w:line="341" w:lineRule="auto"/>
        <w:ind w:left="369" w:hanging="255"/>
      </w:pPr>
      <w:r>
        <w:rPr>
          <w:b/>
          <w:color w:val="2E7D6F"/>
          <w:sz w:val="20"/>
        </w:rPr>
        <w:t xml:space="preserve">· </w:t>
      </w:r>
      <w:r>
        <w:rPr>
          <w:b/>
          <w:color w:val="3A2E2A"/>
          <w:sz w:val="20"/>
        </w:rPr>
        <w:t>租金率</w:t>
      </w:r>
      <w:r>
        <w:rPr>
          <w:color w:val="3A2E2A"/>
          <w:sz w:val="20"/>
        </w:rPr>
        <w:t>：代码 0.8/1.1/1.4/1.7/2.0%，文档 0.8/1.3/1.8/2.3/2.8%（每级 +0.5%）。</w:t>
      </w:r>
    </w:p>
    <w:p>
      <w:pPr>
        <w:spacing w:after="80" w:line="341" w:lineRule="auto"/>
        <w:ind w:left="369" w:hanging="255"/>
      </w:pPr>
      <w:r>
        <w:rPr>
          <w:b/>
          <w:color w:val="2E7D6F"/>
          <w:sz w:val="20"/>
        </w:rPr>
        <w:t xml:space="preserve">· </w:t>
      </w:r>
      <w:r>
        <w:rPr>
          <w:b/>
          <w:color w:val="3A2E2A"/>
          <w:sz w:val="20"/>
        </w:rPr>
        <w:t>空置率</w:t>
      </w:r>
      <w:r>
        <w:rPr>
          <w:color w:val="3A2E2A"/>
          <w:sz w:val="20"/>
        </w:rPr>
        <w:t>：未实现。文档要求热度 &lt;40 时租金 ×50%、&lt;25 时 ×25%。</w:t>
      </w:r>
    </w:p>
    <w:p>
      <w:pPr>
        <w:spacing w:after="80" w:line="341" w:lineRule="auto"/>
        <w:ind w:left="369" w:hanging="255"/>
      </w:pPr>
      <w:r>
        <w:rPr>
          <w:b/>
          <w:color w:val="2E7D6F"/>
          <w:sz w:val="20"/>
        </w:rPr>
        <w:t xml:space="preserve">· </w:t>
      </w:r>
      <w:r>
        <w:rPr>
          <w:b/>
          <w:color w:val="3A2E2A"/>
          <w:sz w:val="20"/>
        </w:rPr>
        <w:t>贷款利率</w:t>
      </w:r>
      <w:r>
        <w:rPr>
          <w:color w:val="3A2E2A"/>
          <w:sz w:val="20"/>
        </w:rPr>
        <w:t>：loanRate() 对全员 ×0.8（实际 0.48%），温老板的被动被错施给了所有人。</w:t>
      </w:r>
    </w:p>
    <w:p>
      <w:pPr>
        <w:spacing w:after="80" w:line="341" w:lineRule="auto"/>
        <w:ind w:left="113"/>
      </w:pPr>
      <w:r>
        <w:rPr>
          <w:color w:val="3A2E2A"/>
          <w:sz w:val="20"/>
        </w:rPr>
        <w:t>这五项决定「破产率能不能从 0.5 人/局提到 1—4 人/局」。它们互相咬合，必须一次改完再重跑 200 局模拟——分两次做等于把平衡标定做两遍。Phase 0 的两周不能省，也不该往后排。</w:t>
      </w:r>
    </w:p>
    <w:p>
      <w:r>
        <w:br w:type="page"/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2E7D6F"/>
          <w:sz w:val="32"/>
        </w:rPr>
        <w:t xml:space="preserve">二  </w:t>
      </w:r>
      <w:r>
        <w:rPr>
          <w:rFonts w:ascii="Segoe UI" w:hAnsi="Segoe UI" w:eastAsia="微软雅黑"/>
          <w:b/>
          <w:color w:val="1B3A5C"/>
          <w:sz w:val="32"/>
        </w:rPr>
        <w:t>开发计划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2.1 排期总览（22 周，T0 = 2026-10-26）</w:t>
      </w:r>
    </w:p>
    <w:p>
      <w:pPr>
        <w:keepNext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与 V1.0 相比只有 Phase 0 的性质变了：文档侧已完成，这两周全部投给代码。其余阶段的内容与顺序不变。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134"/>
        <w:gridCol w:w="850"/>
        <w:gridCol w:w="680"/>
        <w:gridCol w:w="1871"/>
        <w:gridCol w:w="2835"/>
        <w:gridCol w:w="204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50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周次</w:t>
            </w:r>
          </w:p>
        </w:tc>
        <w:tc>
          <w:tcPr>
            <w:tcW w:type="dxa" w:w="680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187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835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核心交付</w:t>
            </w:r>
          </w:p>
        </w:tc>
        <w:tc>
          <w:tcPr>
            <w:tcW w:type="dxa" w:w="204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硬验收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P0 对齐</w:t>
            </w:r>
          </w:p>
        </w:tc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W0—W2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 周</w:t>
            </w:r>
          </w:p>
        </w:tc>
        <w:tc>
          <w:tcPr>
            <w:tcW w:type="dxa" w:w="187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文档口径落到代码；基线重跑一次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五项经济地基 + N1/N2/N3 三项修复；200 局模拟；impl-status 重建；三份决策书</w:t>
            </w:r>
          </w:p>
        </w:tc>
        <w:tc>
          <w:tcPr>
            <w:tcW w:type="dxa" w:w="204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五项全部进代码；同 seed 可复现；破产落入 1—2 人/局；决策签字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P1 垂直切片</w:t>
            </w:r>
          </w:p>
        </w:tc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W2—W8</w:t>
            </w:r>
          </w:p>
        </w:tc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6 周</w:t>
            </w:r>
          </w:p>
        </w:tc>
        <w:tc>
          <w:tcPr>
            <w:tcW w:type="dxa" w:w="187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第一章 48 回合在 Phaser 3 表现层上可玩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逻辑层抽为独立模块 + 单测；8 张配置表与校验门禁；内环美术；AdService 骨架；站点过审版</w:t>
            </w:r>
          </w:p>
        </w:tc>
        <w:tc>
          <w:tcPr>
            <w:tcW w:type="dxa" w:w="204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3/3 新手 30 分钟通关；首屏 ≤3s；单回合逻辑 ≤16ms；AdSense 已提交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P2 内容与数值</w:t>
            </w:r>
          </w:p>
        </w:tc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W8—W16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8 周</w:t>
            </w:r>
          </w:p>
        </w:tc>
        <w:tc>
          <w:tcPr>
            <w:tcW w:type="dxa" w:w="187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一、二章 96 回合；全部卡牌；6 角色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中环 + 第二章；31 事件 + 51 卡；主动技能；法拍竞拍；规划馆；财报；涨跌曲线</w:t>
            </w:r>
          </w:p>
        </w:tc>
        <w:tc>
          <w:tcPr>
            <w:tcW w:type="dxa" w:w="204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200 局目标分布达标；3.9 清单 7/7；配置导出 0 错；法务意见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P3 广告与过审</w:t>
            </w:r>
          </w:p>
        </w:tc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W16—W18</w:t>
            </w:r>
          </w:p>
        </w:tc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 周</w:t>
            </w:r>
          </w:p>
        </w:tc>
        <w:tc>
          <w:tcPr>
            <w:tcW w:type="dxa" w:w="187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双渠道可发布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AdService 双实现；6 个广告位；频控状态机；CMP；双版本打包脚本</w:t>
            </w:r>
          </w:p>
        </w:tc>
        <w:tc>
          <w:tcPr>
            <w:tcW w:type="dxa" w:w="204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广告零打断；流失 ≤3%；无广告可通关；填充率 ≥60%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P4 打磨</w:t>
            </w:r>
          </w:p>
        </w:tc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W18—W22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4 周</w:t>
            </w:r>
          </w:p>
        </w:tc>
        <w:tc>
          <w:tcPr>
            <w:tcW w:type="dxa" w:w="187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可上线</w:t>
            </w:r>
          </w:p>
        </w:tc>
        <w:tc>
          <w:tcPr>
            <w:tcW w:type="dxa" w:w="283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性能与字体子集；兼容矩阵；埋点与看板；新手引导；年轮动画；分享战报</w:t>
            </w:r>
          </w:p>
        </w:tc>
        <w:tc>
          <w:tcPr>
            <w:tcW w:type="dxa" w:w="204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首屏 ≤3s；崩溃 &lt;0.5%；D1 可测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P5 上线</w:t>
            </w:r>
          </w:p>
        </w:tc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W22+</w:t>
            </w:r>
          </w:p>
        </w:tc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持续</w:t>
            </w:r>
          </w:p>
        </w:tc>
        <w:tc>
          <w:tcPr>
            <w:tcW w:type="dxa" w:w="187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双渠道首发；第三四章按数据排</w:t>
            </w:r>
          </w:p>
        </w:tc>
        <w:tc>
          <w:tcPr>
            <w:tcW w:type="dxa" w:w="283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聚合平台版 + 自建站版；按留存决定内容投入</w:t>
            </w:r>
          </w:p>
        </w:tc>
        <w:tc>
          <w:tcPr>
            <w:tcW w:type="dxa" w:w="204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D1 ≥30%；人均日展示 6—8 次；分享率 ≥12%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2.2 关键路径</w:t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/>
          <w:color w:val="B03A2E"/>
          <w:sz w:val="20"/>
        </w:rPr>
        <w:t>商业侧（最长，且不受团队控制）：</w:t>
      </w:r>
      <w:r>
        <w:rPr>
          <w:rFonts w:ascii="Segoe UI" w:hAnsi="Segoe UI" w:eastAsia="微软雅黑"/>
          <w:b w:val="0"/>
          <w:color w:val="3A2E2A"/>
          <w:sz w:val="20"/>
        </w:rPr>
        <w:t>运营主体/域名（W0—W1）→ 静态站上线（W2）→ AdSense 审核（W2—W4）→ 广告联调（W16）→ 上线（W22）。第一环没动，后面全部平移。</w:t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/>
          <w:color w:val="2E7D6F"/>
          <w:sz w:val="20"/>
        </w:rPr>
        <w:t>技术侧：</w:t>
      </w:r>
      <w:r>
        <w:rPr>
          <w:rFonts w:ascii="Segoe UI" w:hAnsi="Segoe UI" w:eastAsia="微软雅黑"/>
          <w:b w:val="0"/>
          <w:color w:val="3A2E2A"/>
          <w:sz w:val="20"/>
        </w:rPr>
        <w:t>五项经济地基（W0—W1）→ 200 局重跑（W1）→ 逻辑层抽离 + 单测（W2—W5）→ 第一章端到端（W5—W6）→ 配置表门禁（W4—W5）→ 内容填充（W8—W16）→ 双包（W16—W18）。配置表 schema 仍是隐藏瓶颈。</w:t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/>
          <w:color w:val="1B5FA8"/>
          <w:sz w:val="20"/>
        </w:rPr>
        <w:t>美术侧：</w:t>
      </w:r>
      <w:r>
        <w:rPr>
          <w:rFonts w:ascii="Segoe UI" w:hAnsi="Segoe UI" w:eastAsia="微软雅黑"/>
          <w:b w:val="0"/>
          <w:color w:val="3A2E2A"/>
          <w:sz w:val="20"/>
        </w:rPr>
        <w:t>三角色完成品（W3—W7，先做杭铁头）→ 内环建筑 Lv0—Lv3（W4—W7）→ 中环与全量角色（W8—W15）→ 卡面模板（W10—W14）。角色是唯一无法模板化的资产，必须最先启动。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2.3 Phase 0：两周对齐（W0—W2）</w:t>
      </w:r>
    </w:p>
    <w:p>
      <w:pPr>
        <w:keepNext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这十件事的顺序不能换：先修口径，再重跑，最后才谈调参。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850"/>
        <w:gridCol w:w="4876"/>
        <w:gridCol w:w="2438"/>
        <w:gridCol w:w="1247"/>
      </w:tblGrid>
      <w:tr>
        <w:trPr>
          <w:tblHeader w:val="true"/>
          <w:cantSplit w:val="true"/>
        </w:trPr>
        <w:tc>
          <w:tcPr>
            <w:tcW w:type="dxa" w:w="850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周</w:t>
            </w:r>
          </w:p>
        </w:tc>
        <w:tc>
          <w:tcPr>
            <w:tcW w:type="dxa" w:w="4876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438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产出</w:t>
            </w:r>
          </w:p>
        </w:tc>
        <w:tc>
          <w:tcPr>
            <w:tcW w:type="dxa" w:w="124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W0 一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五项经济地基：上限 30%→25%；升级费 60%→30%；估值 12%→30%/级；租金率 +0.5%/级；新增空置率 100/50/25%</w:t>
            </w:r>
          </w:p>
        </w:tc>
        <w:tc>
          <w:tcPr>
            <w:tcW w:type="dxa" w:w="243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 + 单元测试（经济模块 37 条扩展）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主策 + 客户端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W0 二</w:t>
            </w:r>
          </w:p>
        </w:tc>
        <w:tc>
          <w:tcPr>
            <w:tcW w:type="dxa" w:w="48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N1 利率修复：×0.8 移进温老板分支；杠杆 &gt;50% 时新贷款加息 50%</w:t>
            </w:r>
          </w:p>
        </w:tc>
        <w:tc>
          <w:tcPr>
            <w:tcW w:type="dxa" w:w="243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 + 用例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W0 三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N2 清算清偿：估值系数改 30% 后重算 85%/70% 分支，让“拍卖后可清零”可达</w:t>
            </w:r>
          </w:p>
        </w:tc>
        <w:tc>
          <w:tcPr>
            <w:tcW w:type="dxa" w:w="243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 + 破产用例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W0 四</w:t>
            </w:r>
          </w:p>
        </w:tc>
        <w:tc>
          <w:tcPr>
            <w:tcW w:type="dxa" w:w="48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N3 政策条：`nextChapter()` 保留未到期 mod；顺手补 3 条 UI 用例</w:t>
            </w:r>
          </w:p>
        </w:tc>
        <w:tc>
          <w:tcPr>
            <w:tcW w:type="dxa" w:w="243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 一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sim 批量：200 局，输出注入/转移/破产/升级次数/杠杆分布六项</w:t>
            </w:r>
          </w:p>
        </w:tc>
        <w:tc>
          <w:tcPr>
            <w:tcW w:type="dxa" w:w="243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baseline.json + 报告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 一</w:t>
            </w:r>
          </w:p>
        </w:tc>
        <w:tc>
          <w:tcPr>
            <w:tcW w:type="dxa" w:w="48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按新基线调一次参（预期破产仍偏低就调空置率或税率）</w:t>
            </w:r>
          </w:p>
        </w:tc>
        <w:tc>
          <w:tcPr>
            <w:tcW w:type="dxa" w:w="243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调参记录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主策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 二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重建 impl-status.md：参数快照、A1—A18 状态、偏差表</w:t>
            </w:r>
          </w:p>
        </w:tc>
        <w:tc>
          <w:tcPr>
            <w:tcW w:type="dxa" w:w="243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site/docs/impl-status.md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 二</w:t>
            </w:r>
          </w:p>
        </w:tc>
        <w:tc>
          <w:tcPr>
            <w:tcW w:type="dxa" w:w="48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三份决策书：技术路线（已定，补签）、首发渠道（D11，需与平台谈）、运营主体</w:t>
            </w:r>
          </w:p>
        </w:tc>
        <w:tc>
          <w:tcPr>
            <w:tcW w:type="dxa" w:w="243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决策书 ×3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W1 三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域名 + 静态站 + 隐私/条款落主体署名；提交 AdSense</w:t>
            </w:r>
          </w:p>
        </w:tc>
        <w:tc>
          <w:tcPr>
            <w:tcW w:type="dxa" w:w="243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URL + 受理号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W2</w:t>
            </w:r>
          </w:p>
        </w:tc>
        <w:tc>
          <w:tcPr>
            <w:tcW w:type="dxa" w:w="48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Phase 0 验收：五项进代码、同 seed 可复现、破产落入目标区间、文档三份一致</w:t>
            </w:r>
          </w:p>
        </w:tc>
        <w:tc>
          <w:tcPr>
            <w:tcW w:type="dxa" w:w="243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验收记录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全员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 w:val="0"/>
        <w:spacing w:before="0" w:after="40" w:line="348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nil" w:space="0"/>
          <w:left w:val="single" w:sz="24" w:color="2E7D6F" w:space="0"/>
          <w:bottom w:val="nil" w:space="0"/>
          <w:right w:val="nil" w:space="0"/>
        </w:tblBorders>
        <w:tblCellMar>
          <w:top w:w="120" w:type="dxa"/>
          <w:left w:w="180" w:type="dxa"/>
          <w:bottom w:w="120" w:type="dxa"/>
          <w:right w:w="150" w:type="dxa"/>
        </w:tblCellMar>
        <w:tblW w:w="9412" w:type="dxa"/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0E6"/>
          </w:tcPr>
          <w:p>
            <w:pPr>
              <w:spacing w:after="100" w:line="312" w:lineRule="auto"/>
            </w:pPr>
            <w:r/>
            <w:r>
              <w:rPr>
                <w:rFonts w:ascii="Segoe UI" w:hAnsi="Segoe UI" w:eastAsia="微软雅黑"/>
                <w:b/>
                <w:color w:val="2E7D6F"/>
                <w:sz w:val="20"/>
              </w:rPr>
              <w:t>Phase 0 的退出条件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① 五项经济地基全部进代码，且 232 条用例仍全绿；② 200 局模拟的破产落在 1—2 人/局；③ 同一 seed 两次运行结果一致；④ 三份产物（PRD / 计划 / 台账）口径一致；⑤ AdSense 已提交。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缺一条不要进 P1——P1 的 6 周里没有余量处理地基。</w:t>
            </w:r>
          </w:p>
        </w:tc>
      </w:tr>
    </w:tbl>
    <w:p>
      <w:pPr>
        <w:spacing w:after="120" w:line="240" w:lineRule="auto"/>
      </w:pPr>
      <w:r>
        <w:rPr>
          <w:sz w:val="8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2.4 Phase 1：垂直切片的六周（W2—W8）</w:t>
      </w:r>
    </w:p>
    <w:p>
      <w:pPr>
        <w:keepNext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五条线并行。原则不变：只做第一章、只做三个角色的完成品、只做三个广告位。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020"/>
        <w:gridCol w:w="1190"/>
        <w:gridCol w:w="1190"/>
        <w:gridCol w:w="1190"/>
        <w:gridCol w:w="1190"/>
        <w:gridCol w:w="1190"/>
        <w:gridCol w:w="1190"/>
        <w:gridCol w:w="1247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线</w:t>
            </w:r>
          </w:p>
        </w:tc>
        <w:tc>
          <w:tcPr>
            <w:tcW w:type="dxa" w:w="1191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W2</w:t>
            </w:r>
          </w:p>
        </w:tc>
        <w:tc>
          <w:tcPr>
            <w:tcW w:type="dxa" w:w="1191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W3</w:t>
            </w:r>
          </w:p>
        </w:tc>
        <w:tc>
          <w:tcPr>
            <w:tcW w:type="dxa" w:w="1191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W4</w:t>
            </w:r>
          </w:p>
        </w:tc>
        <w:tc>
          <w:tcPr>
            <w:tcW w:type="dxa" w:w="1191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W5</w:t>
            </w:r>
          </w:p>
        </w:tc>
        <w:tc>
          <w:tcPr>
            <w:tcW w:type="dxa" w:w="1191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W6</w:t>
            </w:r>
          </w:p>
        </w:tc>
        <w:tc>
          <w:tcPr>
            <w:tcW w:type="dxa" w:w="1191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W7</w:t>
            </w:r>
          </w:p>
        </w:tc>
        <w:tc>
          <w:tcPr>
            <w:tcW w:type="dxa" w:w="1247"/>
            <w:shd w:val="clear" w:color="auto" w:fill="2E7D6F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W8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A 逻辑层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边界划分</w:t>
              <w:br/>
              <w:t>确定性 RNG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回合状态机</w:t>
              <w:br/>
              <w:t>落地结算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AI 三档</w:t>
              <w:br/>
              <w:t>决策缓存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道具/技能接口</w:t>
              <w:br/>
              <w:t>Worker 化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性能剖析</w:t>
              <w:br/>
              <w:t>回归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数值复测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M1 验收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B 表现层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Phaser 骨架</w:t>
              <w:br/>
              <w:t>26 格排布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棋子跳跃</w:t>
              <w:br/>
              <w:t>日志 10 行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地块砖 + 建筑分级</w:t>
              <w:br/>
              <w:t>连片连线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地块详情</w:t>
              <w:br/>
              <w:t>交易二次确认</w:t>
              <w:br/>
              <w:t>受限状态条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事件卡弹窗</w:t>
              <w:br/>
              <w:t>政策条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年轮过渡</w:t>
              <w:br/>
              <w:t>（占位）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多端自查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C 策划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8 张表 schema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首章地块/区域</w:t>
              <w:br/>
              <w:t>时代系数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事件卡 12 张</w:t>
              <w:br/>
              <w:t>政策卡 6 张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AI 性格表</w:t>
              <w:br/>
              <w:t>角色表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compliance</w:t>
              <w:br/>
              <w:t>字段接入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30s/回合</w:t>
              <w:br/>
              <w:t>节奏验证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外部试玩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D 美术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风格稿 3 版</w:t>
              <w:br/>
              <w:t>组件规范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杭铁头 4 套动作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内环建筑 Lv0—Lv3</w:t>
              <w:br/>
              <w:t>（20—24 资产）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UI 组件库</w:t>
              <w:br/>
              <w:t>棋盘底图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卡面模板 3 层</w:t>
            </w:r>
          </w:p>
        </w:tc>
        <w:tc>
          <w:tcPr>
            <w:tcW w:type="dxa" w:w="119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图标集</w:t>
              <w:br/>
              <w:t>特效切图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资源预算复测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E 制作人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仓库与 CI</w:t>
              <w:br/>
              <w:t>域名与主体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静态站</w:t>
              <w:br/>
              <w:t>隐私/条款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AdService 接口</w:t>
              <w:br/>
              <w:t>空实现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CMP</w:t>
              <w:br/>
              <w:t>免登录流程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首屏预算首测</w:t>
            </w:r>
          </w:p>
        </w:tc>
        <w:tc>
          <w:tcPr>
            <w:tcW w:type="dxa" w:w="119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外部试玩 3 人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M1 复盘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2.5 里程碑验收（Definition of Done）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793"/>
        <w:gridCol w:w="6577"/>
        <w:gridCol w:w="2041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6576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可复现的验收方式</w:t>
            </w:r>
          </w:p>
        </w:tc>
        <w:tc>
          <w:tcPr>
            <w:tcW w:type="dxa" w:w="204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数据来源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M1</w:t>
            </w:r>
          </w:p>
        </w:tc>
        <w:tc>
          <w:tcPr>
            <w:tcW w:type="dxa" w:w="65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3/3 新手无提示 30 分钟通关第一章；首屏 ≤3s（4G 冷缓存）；单回合逻辑 ≤16ms；AdSense 已提交</w:t>
            </w:r>
          </w:p>
        </w:tc>
        <w:tc>
          <w:tcPr>
            <w:tcW w:type="dxa" w:w="204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录屏 + Lighthouse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M2</w:t>
            </w:r>
          </w:p>
        </w:tc>
        <w:tc>
          <w:tcPr>
            <w:tcW w:type="dxa" w:w="65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200 局：头尾比 1.8—3.5、胜率 45—55%、破产 1—4 人/局、人均升级 ≥4 次；3.9 清单 7/7；配置导出 0 错</w:t>
            </w:r>
          </w:p>
        </w:tc>
        <w:tc>
          <w:tcPr>
            <w:tcW w:type="dxa" w:w="204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sim 报告 + 校验脚本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M2.5</w:t>
            </w:r>
          </w:p>
        </w:tc>
        <w:tc>
          <w:tcPr>
            <w:tcW w:type="dxa" w:w="65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决策流程广告触发 = 0；激励完播 ≥75%；广告流失 ≤3%；关广告可完整通关</w:t>
            </w:r>
          </w:p>
        </w:tc>
        <w:tc>
          <w:tcPr>
            <w:tcW w:type="dxa" w:w="204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埋点看板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M3</w:t>
            </w:r>
          </w:p>
        </w:tc>
        <w:tc>
          <w:tcPr>
            <w:tcW w:type="dxa" w:w="65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首屏 ≤3s（P75）；崩溃 &lt;0.5%；低端机 ≥30fps；iOS 14+/Chrome 90+ 全通过</w:t>
            </w:r>
          </w:p>
        </w:tc>
        <w:tc>
          <w:tcPr>
            <w:tcW w:type="dxa" w:w="204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Sentry + 兼容矩阵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M4</w:t>
            </w:r>
          </w:p>
        </w:tc>
        <w:tc>
          <w:tcPr>
            <w:tcW w:type="dxa" w:w="65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D1 ≥30%、D7 ≥12%、章均 25±5 分钟、人均日展示 6—8 次、分享率 ≥12%</w:t>
            </w:r>
          </w:p>
        </w:tc>
        <w:tc>
          <w:tcPr>
            <w:tcW w:type="dxa" w:w="204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看板 + 渠道后台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2.6 人力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701"/>
        <w:gridCol w:w="2494"/>
        <w:gridCol w:w="5216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4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配置</w:t>
            </w:r>
          </w:p>
        </w:tc>
        <w:tc>
          <w:tcPr>
            <w:tcW w:type="dxa" w:w="5216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制作人 / 主策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</w:t>
            </w:r>
          </w:p>
        </w:tc>
        <w:tc>
          <w:tcPr>
            <w:tcW w:type="dxa" w:w="521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P0—P1 需 60% 时间在商业与合规；域名、主体、AdSense 只能由他推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系统策划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 + 0.5（P2 起）</w:t>
            </w:r>
          </w:p>
        </w:tc>
        <w:tc>
          <w:tcPr>
            <w:tcW w:type="dxa" w:w="521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8 张配置表 + 82 张卡 + 31 条史实，一个人做不完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客户端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</w:t>
            </w:r>
          </w:p>
        </w:tc>
        <w:tc>
          <w:tcPr>
            <w:tcW w:type="dxa" w:w="521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一人守逻辑层（唯一可复用资产），一人做表现层，不交叉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美术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 + 0.5（P2 起外包卡面）</w:t>
            </w:r>
          </w:p>
        </w:tc>
        <w:tc>
          <w:tcPr>
            <w:tcW w:type="dxa" w:w="521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首发 3 角色 + 60—70 个建筑（模板化后 20—24 资产）+ 51 张卡面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测试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0.5 → 1（P3 起）</w:t>
            </w:r>
          </w:p>
        </w:tc>
        <w:tc>
          <w:tcPr>
            <w:tcW w:type="dxa" w:w="521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H5 多端兼容 + 6 个广告位联调，兼职覆盖不了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数据分析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0.2 兼职（P4 起）</w:t>
            </w:r>
          </w:p>
        </w:tc>
        <w:tc>
          <w:tcPr>
            <w:tcW w:type="dxa" w:w="521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10.7 列了 8 项埋点，得有个人看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法务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按次（P0、M2 末）</w:t>
            </w:r>
          </w:p>
        </w:tc>
        <w:tc>
          <w:tcPr>
            <w:tcW w:type="dxa" w:w="521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13.1 的七类风险必须出书面意见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2.7 风险登记表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453"/>
        <w:gridCol w:w="2551"/>
        <w:gridCol w:w="567"/>
        <w:gridCol w:w="567"/>
        <w:gridCol w:w="1417"/>
        <w:gridCol w:w="3061"/>
        <w:gridCol w:w="793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#</w:t>
            </w:r>
          </w:p>
        </w:tc>
        <w:tc>
          <w:tcPr>
            <w:tcW w:type="dxa" w:w="255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56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56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141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触发信号</w:t>
            </w:r>
          </w:p>
        </w:tc>
        <w:tc>
          <w:tcPr>
            <w:tcW w:type="dxa" w:w="306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应对</w:t>
            </w:r>
          </w:p>
        </w:tc>
        <w:tc>
          <w:tcPr>
            <w:tcW w:type="dxa" w:w="7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5"/>
              </w:rPr>
              <w:t>责任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R1</w:t>
            </w:r>
          </w:p>
        </w:tc>
        <w:tc>
          <w:tcPr>
            <w:tcW w:type="dxa" w:w="255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运营主体 / 域名拖延 → 广告账号无法申请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高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极高</w:t>
            </w:r>
          </w:p>
        </w:tc>
        <w:tc>
          <w:tcPr>
            <w:tcW w:type="dxa" w:w="141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W2 未定主体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先以个人主体开通 AdSense；同时准备不依赖 AdSense 的聚合平台版</w:t>
            </w:r>
          </w:p>
        </w:tc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R2</w:t>
            </w:r>
          </w:p>
        </w:tc>
        <w:tc>
          <w:tcPr>
            <w:tcW w:type="dxa" w:w="255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五项经济地基分两次做，平衡标定重跑两遍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高</w:t>
            </w:r>
          </w:p>
        </w:tc>
        <w:tc>
          <w:tcPr>
            <w:tcW w:type="dxa" w:w="141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W1 结束未全进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合并成一个 PR；用开关（feature flag）一次合并、分批验证</w:t>
            </w:r>
          </w:p>
        </w:tc>
        <w:tc>
          <w:tcPr>
            <w:tcW w:type="dxa" w:w="79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主策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R3</w:t>
            </w:r>
          </w:p>
        </w:tc>
        <w:tc>
          <w:tcPr>
            <w:tcW w:type="dxa" w:w="255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改动后破产率反而过高（空置率 + 利率 + 租金率三重叠加）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141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W1 sim 报告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先在 sim 里单独开关每项，看边际影响再定系数；宁可少改一项也不要一次调三个</w:t>
            </w:r>
          </w:p>
        </w:tc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主策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R4</w:t>
            </w:r>
          </w:p>
        </w:tc>
        <w:tc>
          <w:tcPr>
            <w:tcW w:type="dxa" w:w="255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Phaser 重写表现层超期（6 周内做不完第一章）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高</w:t>
            </w:r>
          </w:p>
        </w:tc>
        <w:tc>
          <w:tcPr>
            <w:tcW w:type="dxa" w:w="141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W5 端到端未跑通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已跑通的 26 格棋盘可以先沿用现有渲染，只把棋盘表现换成 Phaser；不追求一次性替换</w:t>
            </w:r>
          </w:p>
        </w:tc>
        <w:tc>
          <w:tcPr>
            <w:tcW w:type="dxa" w:w="79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R5</w:t>
            </w:r>
          </w:p>
        </w:tc>
        <w:tc>
          <w:tcPr>
            <w:tcW w:type="dxa" w:w="255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美术量低估（3 角色 + 60—70 建筑仍超 2 人产能）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高</w:t>
            </w:r>
          </w:p>
        </w:tc>
        <w:tc>
          <w:tcPr>
            <w:tcW w:type="dxa" w:w="141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W5 角色落后 &gt;1 周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再砍到 1 个角色完成品 + 5 个剪影；建筑复用区域模板只做配色变体</w:t>
            </w:r>
          </w:p>
        </w:tc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美术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R6</w:t>
            </w:r>
          </w:p>
        </w:tc>
        <w:tc>
          <w:tcPr>
            <w:tcW w:type="dxa" w:w="255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合规：真实地名 + 负面事件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低中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极高</w:t>
            </w:r>
          </w:p>
        </w:tc>
        <w:tc>
          <w:tcPr>
            <w:tcW w:type="dxa" w:w="141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M2 末法务复核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负面事件一律“某板块”；法务书面意见作为 M2 硬卡点</w:t>
            </w:r>
          </w:p>
        </w:tc>
        <w:tc>
          <w:tcPr>
            <w:tcW w:type="dxa" w:w="79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R7</w:t>
            </w:r>
          </w:p>
        </w:tc>
        <w:tc>
          <w:tcPr>
            <w:tcW w:type="dxa" w:w="255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新站广告填充率低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高</w:t>
            </w:r>
          </w:p>
        </w:tc>
        <w:tc>
          <w:tcPr>
            <w:tcW w:type="dxa" w:w="56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1417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P3 联调</w:t>
            </w:r>
          </w:p>
        </w:tc>
        <w:tc>
          <w:tcPr>
            <w:tcW w:type="dxa" w:w="306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备源 + 接受空窗；首月不以 eCPM 论成败，只看留存</w:t>
            </w:r>
          </w:p>
        </w:tc>
        <w:tc>
          <w:tcPr>
            <w:tcW w:type="dxa" w:w="7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R8</w:t>
            </w:r>
          </w:p>
        </w:tc>
        <w:tc>
          <w:tcPr>
            <w:tcW w:type="dxa" w:w="255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首屏超 3s（中文字体是最大黑洞）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中</w:t>
            </w:r>
          </w:p>
        </w:tc>
        <w:tc>
          <w:tcPr>
            <w:tcW w:type="dxa" w:w="56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高</w:t>
            </w:r>
          </w:p>
        </w:tc>
        <w:tc>
          <w:tcPr>
            <w:tcW w:type="dxa" w:w="1417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W6 首屏首测</w:t>
            </w:r>
          </w:p>
        </w:tc>
        <w:tc>
          <w:tcPr>
            <w:tcW w:type="dxa" w:w="306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字体子集 + 首章资源 ≤2MB + 静态占位降级 + Service Worker</w:t>
            </w:r>
          </w:p>
        </w:tc>
        <w:tc>
          <w:tcPr>
            <w:tcW w:type="dxa" w:w="79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5"/>
              </w:rPr>
              <w:t>客户端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r>
        <w:br w:type="page"/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2E7D6F"/>
          <w:sz w:val="32"/>
        </w:rPr>
        <w:t xml:space="preserve">三  </w:t>
      </w:r>
      <w:r>
        <w:rPr>
          <w:rFonts w:ascii="Segoe UI" w:hAnsi="Segoe UI" w:eastAsia="微软雅黑"/>
          <w:b/>
          <w:color w:val="1B3A5C"/>
          <w:sz w:val="32"/>
        </w:rPr>
        <w:t>开发建议</w:t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本轮只写动代码之前必须知道的事。玩法层面的建议已在 PRD V1.6 落地，这里不再重复。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3.1 经济地基（5 条，Phase 0 内完成）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五项要一次改完，宁可先用开关。 </w:t>
      </w:r>
      <w:r>
        <w:rPr>
          <w:rFonts w:ascii="Segoe UI" w:hAnsi="Segoe UI" w:eastAsia="微软雅黑"/>
          <w:b w:val="0"/>
          <w:color w:val="3A2E2A"/>
          <w:sz w:val="20"/>
        </w:rPr>
        <w:t>上限、升级费、估值、租金率、空置率互相咬合：只改升级不改租金，升级仍不划算；只加空置率不修利率，成本又被低估。建议用一个 config 开关组一次性合并，再在 sim 里单独开关看边际影响——这样既不用分两次标定，又能定位是哪一项在起作用。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估值系数改成 30% 时，清算分支会自己变活。 </w:t>
      </w:r>
      <w:r>
        <w:rPr>
          <w:rFonts w:ascii="Segoe UI" w:hAnsi="Segoe UI" w:eastAsia="微软雅黑"/>
          <w:b w:val="0"/>
          <w:color w:val="3A2E2A"/>
          <w:sz w:val="20"/>
        </w:rPr>
        <w:t>N2 的根因是“按 12%/级 计资产、按 85% 拍卖”，账面差 15% 以上永远还不清。改成 30%/级 后，拍卖所得与账面值接近，清偿分支自然可达——所以 N2 不要单独调拍卖系数，跟着 P0-4 一起改。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利率修复会把“借钱买地”从套利变成判断。 </w:t>
      </w:r>
      <w:r>
        <w:rPr>
          <w:rFonts w:ascii="Segoe UI" w:hAnsi="Segoe UI" w:eastAsia="微软雅黑"/>
          <w:b w:val="0"/>
          <w:color w:val="3A2E2A"/>
          <w:sz w:val="20"/>
        </w:rPr>
        <w:t>现在全员 0.48%/月，而 Lv1 租金 0.8%/月，借钱买地是无风险正利差，所以 AI 敢借、玩家也该借。恢复 0.6% 之后利差仍在（0.8 &gt; 0.6），但只有买对地段才成立——这正是 8.7 想要的“会算账的人赢”。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空置率是给第四章准备的工具，不要调成全年生效的重锤。 </w:t>
      </w:r>
      <w:r>
        <w:rPr>
          <w:rFonts w:ascii="Segoe UI" w:hAnsi="Segoe UI" w:eastAsia="微软雅黑"/>
          <w:b w:val="0"/>
          <w:color w:val="3A2E2A"/>
          <w:sz w:val="20"/>
        </w:rPr>
        <w:t>它的价值在“退潮”那一段。建议先只在 2022 年以后生效，或把阈值调低（&lt;35 才减半），否则第一章的城北、临平会一开局就租不出去，玩家会以为游戏坏了。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调参顺序：上限 → 估值/升级 → 利率 → 空置率，最后才动租金率。 </w:t>
      </w:r>
      <w:r>
        <w:rPr>
          <w:rFonts w:ascii="Segoe UI" w:hAnsi="Segoe UI" w:eastAsia="微软雅黑"/>
          <w:b w:val="0"/>
          <w:color w:val="3A2E2A"/>
          <w:sz w:val="20"/>
        </w:rPr>
        <w:t>前四项改变的是“分配”和“风险”，只有租金率改变“总量”。总量一动，前面所有标定都要重看。把最有破坏力的一项放在最后，能省一轮模拟。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3.2 工程（3 条）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先抽逻辑层，再换表现层。 </w:t>
      </w:r>
      <w:r>
        <w:rPr>
          <w:rFonts w:ascii="Segoe UI" w:hAnsi="Segoe UI" w:eastAsia="微软雅黑"/>
          <w:b w:val="0"/>
          <w:color w:val="3A2E2A"/>
          <w:sz w:val="20"/>
        </w:rPr>
        <w:t>现在的 game.js 里，规则与 DOM 是缠在一起的（`$()`、`renderTokens()` 与 `endMonth()` 同一个文件）。顺序必须是：先把规则抽成不碰 DOM 的模块（能在 Node 里跑完 204 回合），再上 Phaser。反过来做，等于两套逻辑并存。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把 232 条用例变成 CI 门禁。 </w:t>
      </w:r>
      <w:r>
        <w:rPr>
          <w:rFonts w:ascii="Segoe UI" w:hAnsi="Segoe UI" w:eastAsia="微软雅黑"/>
          <w:b w:val="0"/>
          <w:color w:val="3A2E2A"/>
          <w:sz w:val="20"/>
        </w:rPr>
        <w:t>这套测试已经是这个项目最有价值的资产（能注入随机序列、能复现法拍）。缺的只是一条命令和一次触发：`node --test` 在受限环境里会因 spawn 失败，改成逐文件跑即可；再把 `sim 200 局 + 对比 baseline` 加成第二条门禁。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impl-status.md 必须由脚本生成，不能手写。 </w:t>
      </w:r>
      <w:r>
        <w:rPr>
          <w:rFonts w:ascii="Segoe UI" w:hAnsi="Segoe UI" w:eastAsia="微软雅黑"/>
          <w:b w:val="0"/>
          <w:color w:val="3A2E2A"/>
          <w:sz w:val="20"/>
        </w:rPr>
        <w:t>这次是我手工比对出来的，下次换个人就会漏。建议写一个 `tools/impl-status.mjs`：读 data.js/game.js 常量、跑测试、跑 sim，直接吐 markdown。它的产出同时就是 PRD 第十四章的“状态”列。</w:t>
      </w:r>
    </w:p>
    <w:p>
      <w:pPr>
        <w:spacing w:before="20" w:after="80" w:line="341" w:lineRule="auto"/>
        <w:ind w:left="539" w:hanging="255"/>
      </w:pPr>
      <w:r>
        <w:rPr>
          <w:b/>
          <w:color w:val="2E7D6F"/>
          <w:sz w:val="20"/>
        </w:rPr>
        <w:t xml:space="preserve">· </w:t>
      </w:r>
      <w:r>
        <w:rPr>
          <w:b/>
          <w:color w:val="3A2E2A"/>
          <w:sz w:val="20"/>
        </w:rPr>
        <w:t xml:space="preserve">配置外置是这一步的副产品，先做了。 </w:t>
      </w:r>
      <w:r>
        <w:rPr>
          <w:color w:val="3A2E2A"/>
          <w:sz w:val="20"/>
        </w:rPr>
        <w:t>数值从 data.js / game.js 搬进 site/config.js 之后，调参与回归解耦了：改一个数只动一个文件，sim 重跑的输入也就明确了。顺带给 100+ 个函数与常量标了 [PRD x.y]，这是让「文档说的」与「代码做的」能互相追溯的最低成本做法——比再写一份对照表便宜得多。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3.3 商业（2 条）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渠道谈判要早于内容完成。 </w:t>
      </w:r>
      <w:r>
        <w:rPr>
          <w:rFonts w:ascii="Segoe UI" w:hAnsi="Segoe UI" w:eastAsia="微软雅黑"/>
          <w:b w:val="0"/>
          <w:color w:val="3A2E2A"/>
          <w:sz w:val="20"/>
        </w:rPr>
        <w:t>聚合平台的审核周期与 SDK 要求会影响打包方式（甚至影响广告位设计）。D11 定了双包，但“跟谁谈、谈什么比例”没定，这件事应该在 W4 之前有结论，否则 P3 的两周会被返工吃掉。</w:t>
      </w:r>
    </w:p>
    <w:p>
      <w:pPr>
        <w:spacing w:before="20" w:after="80" w:line="341" w:lineRule="auto"/>
        <w:ind w:left="567" w:hanging="255"/>
      </w:pPr>
      <w:r>
        <w:rPr>
          <w:rFonts w:ascii="Segoe UI" w:hAnsi="Segoe UI" w:eastAsia="微软雅黑"/>
          <w:b/>
          <w:color w:val="2E7D6F"/>
          <w:sz w:val="20"/>
        </w:rPr>
        <w:t xml:space="preserve">· </w:t>
      </w:r>
      <w:r>
        <w:rPr>
          <w:rFonts w:ascii="Segoe UI" w:hAnsi="Segoe UI" w:eastAsia="微软雅黑"/>
          <w:b/>
          <w:color w:val="3A2E2A"/>
          <w:sz w:val="20"/>
        </w:rPr>
        <w:t xml:space="preserve">首发只做繁中，英文等数据。 </w:t>
      </w:r>
      <w:r>
        <w:rPr>
          <w:rFonts w:ascii="Segoe UI" w:hAnsi="Segoe UI" w:eastAsia="微软雅黑"/>
          <w:b w:val="0"/>
          <w:color w:val="3A2E2A"/>
          <w:sz w:val="20"/>
        </w:rPr>
        <w:t>繁中覆盖港台 + 东南亚 + 北美华人，是 A 路径性价比最高的选项；英文会让杭州梗全部失效，文案量还 +40%。等 D1 留存过了 30% 再投入，用数据而不是直觉决定。</w:t>
      </w:r>
    </w:p>
    <w:p>
      <w:r>
        <w:br w:type="page"/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2E7D6F"/>
          <w:sz w:val="32"/>
        </w:rPr>
        <w:t xml:space="preserve">四  </w:t>
      </w:r>
      <w:r>
        <w:rPr>
          <w:rFonts w:ascii="Segoe UI" w:hAnsi="Segoe UI" w:eastAsia="微软雅黑"/>
          <w:b/>
          <w:color w:val="1B3A5C"/>
          <w:sz w:val="32"/>
        </w:rPr>
        <w:t>两周行动清单</w:t>
      </w:r>
    </w:p>
    <w:p>
      <w:pPr>
        <w:keepNext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Phase 0 的十天，按天排。前四天改代码，第五天跑模拟，第六七天收文档与商业前置，第八到十天验收。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680"/>
        <w:gridCol w:w="5103"/>
        <w:gridCol w:w="2381"/>
        <w:gridCol w:w="1247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日</w:t>
            </w:r>
          </w:p>
        </w:tc>
        <w:tc>
          <w:tcPr>
            <w:tcW w:type="dxa" w:w="5102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38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产出</w:t>
            </w:r>
          </w:p>
        </w:tc>
        <w:tc>
          <w:tcPr>
            <w:tcW w:type="dxa" w:w="1247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D1</w:t>
            </w:r>
          </w:p>
        </w:tc>
        <w:tc>
          <w:tcPr>
            <w:tcW w:type="dxa" w:w="510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五项经济地基进代码（开关组）</w:t>
            </w:r>
          </w:p>
        </w:tc>
        <w:tc>
          <w:tcPr>
            <w:tcW w:type="dxa" w:w="238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 + 用例扩展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主策 + 客户端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D2</w:t>
            </w:r>
          </w:p>
        </w:tc>
        <w:tc>
          <w:tcPr>
            <w:tcW w:type="dxa" w:w="510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N1 利率分支 + 杠杆加息</w:t>
            </w:r>
          </w:p>
        </w:tc>
        <w:tc>
          <w:tcPr>
            <w:tcW w:type="dxa" w:w="238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D3</w:t>
            </w:r>
          </w:p>
        </w:tc>
        <w:tc>
          <w:tcPr>
            <w:tcW w:type="dxa" w:w="510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N2 清算清偿（随估值系数）+ N5 门槛核对</w:t>
            </w:r>
          </w:p>
        </w:tc>
        <w:tc>
          <w:tcPr>
            <w:tcW w:type="dxa" w:w="238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 + 破产用例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D4</w:t>
            </w:r>
          </w:p>
        </w:tc>
        <w:tc>
          <w:tcPr>
            <w:tcW w:type="dxa" w:w="510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N3 政策条跨章保留</w:t>
            </w:r>
          </w:p>
        </w:tc>
        <w:tc>
          <w:tcPr>
            <w:tcW w:type="dxa" w:w="238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PR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客户端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D5</w:t>
            </w:r>
          </w:p>
        </w:tc>
        <w:tc>
          <w:tcPr>
            <w:tcW w:type="dxa" w:w="510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200 局 sim，输出六项指标；按边际影响调一次系数</w:t>
            </w:r>
          </w:p>
        </w:tc>
        <w:tc>
          <w:tcPr>
            <w:tcW w:type="dxa" w:w="238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baseline + 调参记录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主策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D6</w:t>
            </w:r>
          </w:p>
        </w:tc>
        <w:tc>
          <w:tcPr>
            <w:tcW w:type="dxa" w:w="510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重建 impl-status.md（参数快照 / A1—A18 / 偏差 / 基线）</w:t>
            </w:r>
          </w:p>
        </w:tc>
        <w:tc>
          <w:tcPr>
            <w:tcW w:type="dxa" w:w="238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site/docs/impl-status.md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D7</w:t>
            </w:r>
          </w:p>
        </w:tc>
        <w:tc>
          <w:tcPr>
            <w:tcW w:type="dxa" w:w="510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三份决策书签字；域名 + 静态站 + 隐私条款落主体；提交 AdSense</w:t>
            </w:r>
          </w:p>
        </w:tc>
        <w:tc>
          <w:tcPr>
            <w:tcW w:type="dxa" w:w="238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URL + 受理号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制作人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D8</w:t>
            </w:r>
          </w:p>
        </w:tc>
        <w:tc>
          <w:tcPr>
            <w:tcW w:type="dxa" w:w="510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配置表 schema 定稿（8 张表字段与校验规则）</w:t>
            </w:r>
          </w:p>
        </w:tc>
        <w:tc>
          <w:tcPr>
            <w:tcW w:type="dxa" w:w="238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schema 文档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系统策划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D9</w:t>
            </w:r>
          </w:p>
        </w:tc>
        <w:tc>
          <w:tcPr>
            <w:tcW w:type="dxa" w:w="5102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Phase 0 验收：五项进代码、同 seed 复现、破产落区间、三份产物口径一致</w:t>
            </w:r>
          </w:p>
        </w:tc>
        <w:tc>
          <w:tcPr>
            <w:tcW w:type="dxa" w:w="238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验收记录</w:t>
            </w:r>
          </w:p>
        </w:tc>
        <w:tc>
          <w:tcPr>
            <w:tcW w:type="dxa" w:w="1247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D10</w:t>
            </w:r>
          </w:p>
        </w:tc>
        <w:tc>
          <w:tcPr>
            <w:tcW w:type="dxa" w:w="5102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P1 排期细化到人日，启动 Phaser 骨架</w:t>
            </w:r>
          </w:p>
        </w:tc>
        <w:tc>
          <w:tcPr>
            <w:tcW w:type="dxa" w:w="238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P1 甘特</w:t>
            </w:r>
          </w:p>
        </w:tc>
        <w:tc>
          <w:tcPr>
            <w:tcW w:type="dxa" w:w="1247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制作人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 w:val="0"/>
        <w:spacing w:before="0" w:after="40" w:line="348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nil" w:space="0"/>
          <w:left w:val="single" w:sz="24" w:color="1B5FA8" w:space="0"/>
          <w:bottom w:val="nil" w:space="0"/>
          <w:right w:val="nil" w:space="0"/>
        </w:tblBorders>
        <w:tblCellMar>
          <w:top w:w="120" w:type="dxa"/>
          <w:left w:w="180" w:type="dxa"/>
          <w:bottom w:w="120" w:type="dxa"/>
          <w:right w:w="150" w:type="dxa"/>
        </w:tblCellMar>
        <w:tblW w:w="9412" w:type="dxa"/>
        <w:tblLayout w:type="fixed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EDF3F1"/>
          </w:tcPr>
          <w:p>
            <w:pPr>
              <w:spacing w:after="100" w:line="312" w:lineRule="auto"/>
            </w:pPr>
            <w:r/>
            <w:r>
              <w:rPr>
                <w:rFonts w:ascii="Segoe UI" w:hAnsi="Segoe UI" w:eastAsia="微软雅黑"/>
                <w:b/>
                <w:color w:val="1B5FA8"/>
                <w:sz w:val="20"/>
              </w:rPr>
              <w:t>这条流程已经固化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 xml:space="preserve">以后每一次改动，由 skill </w:t>
            </w:r>
            <w:r>
              <w:rPr>
                <w:rFonts w:ascii="Segoe UI" w:hAnsi="Segoe UI" w:eastAsia="微软雅黑"/>
                <w:b/>
                <w:color w:val="3A2E2A"/>
                <w:sz w:val="19"/>
              </w:rPr>
              <w:t>hangzhou-tycoon-doc-sync</w:t>
            </w: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 xml:space="preserve"> 触发：改 PRD → 改本文 → 更新台账 → 校验 → 交付。</w:t>
            </w:r>
          </w:p>
          <w:p>
            <w:pPr>
              <w:spacing w:after="80" w:line="348" w:lineRule="auto"/>
            </w:pPr>
            <w:r>
              <w:rPr>
                <w:rFonts w:ascii="Segoe UI" w:hAnsi="Segoe UI" w:eastAsia="微软雅黑"/>
                <w:b w:val="0"/>
                <w:color w:val="3A2E2A"/>
                <w:sz w:val="19"/>
              </w:rPr>
              <w:t>它的规则写在 `.dsh/skills/hangzhou-tycoon-doc-sync/SKILL.md`，包括不可回退的十项口径、PRD 的章节地图，以及三个已经踩过的技术坑（目录锚点认错、表格表头算第一行、样式必须从原文档取）。</w:t>
            </w:r>
          </w:p>
        </w:tc>
      </w:tr>
    </w:tbl>
    <w:p>
      <w:pPr>
        <w:spacing w:after="120" w:line="240" w:lineRule="auto"/>
      </w:pPr>
      <w:r>
        <w:rPr>
          <w:sz w:val="8"/>
        </w:rPr>
      </w:r>
    </w:p>
    <w:p>
      <w:pPr>
        <w:keepNext/>
        <w:spacing w:before="80" w:after="180"/>
        <w:pBdr>
          <w:bottom w:val="single" w:sz="12" w:space="5" w:color="2E7D6F"/>
        </w:pBdr>
      </w:pPr>
      <w:r>
        <w:rPr>
          <w:rFonts w:ascii="Segoe UI" w:hAnsi="Segoe UI" w:eastAsia="微软雅黑"/>
          <w:b/>
          <w:color w:val="2E7D6F"/>
          <w:sz w:val="32"/>
        </w:rPr>
        <w:t xml:space="preserve">附录 A  </w:t>
      </w:r>
      <w:r>
        <w:rPr>
          <w:rFonts w:ascii="Segoe UI" w:hAnsi="Segoe UI" w:eastAsia="微软雅黑"/>
          <w:b/>
          <w:color w:val="1B3A5C"/>
          <w:sz w:val="32"/>
        </w:rPr>
        <w:t>五项口径改动的数值影响</w:t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以下是把五项改动代进数值后的估算，用于判断方向与量级；真实结论必须等 200 局模拟。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A.1 升级 ROI：从负期望变成账面中性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927"/>
        <w:gridCol w:w="2494"/>
        <w:gridCol w:w="2494"/>
        <w:gridCol w:w="2494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项</w:t>
            </w:r>
          </w:p>
        </w:tc>
        <w:tc>
          <w:tcPr>
            <w:tcW w:type="dxa" w:w="24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V1.5（旧）</w:t>
            </w:r>
          </w:p>
        </w:tc>
        <w:tc>
          <w:tcPr>
            <w:tcW w:type="dxa" w:w="24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V1.6（新）</w:t>
            </w:r>
          </w:p>
        </w:tc>
        <w:tc>
          <w:tcPr>
            <w:tcW w:type="dxa" w:w="24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变化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升级 1 级支出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地价 × 60%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地价 × 30%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−30 个点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账面估值增加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地价 × 12%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地价 × 30%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+18 个点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即时净资产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6"/>
              </w:rPr>
              <w:t>−48% 地价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6"/>
              </w:rPr>
              <w:t>0（严格中性）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消除亏损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月租金增量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+0.3% 地价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+0.5% 地价</w:t>
            </w:r>
          </w:p>
        </w:tc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+67%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3A2E2A"/>
                <w:sz w:val="16"/>
              </w:rPr>
              <w:t>现金回本周期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160 个月（永远）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60 个月（204 回合内可行）</w:t>
            </w:r>
          </w:p>
        </w:tc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可回本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读法：旧口径下升级是纯亏损，唯一理性选择是永不升级；新口径下升级不损耗净资产，只是把现金换成更会生钱的地块——这正是“建筑随等级长高”这个核心视觉奖励能被看到的前提。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A.2 空置率：租金收入的预期折损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1701"/>
        <w:gridCol w:w="4876"/>
        <w:gridCol w:w="1134"/>
        <w:gridCol w:w="170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区域热度区间</w:t>
            </w:r>
          </w:p>
        </w:tc>
        <w:tc>
          <w:tcPr>
            <w:tcW w:type="dxa" w:w="4876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区域（基准热度）</w:t>
            </w:r>
          </w:p>
        </w:tc>
        <w:tc>
          <w:tcPr>
            <w:tcW w:type="dxa" w:w="113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租金系数</w:t>
            </w:r>
          </w:p>
        </w:tc>
        <w:tc>
          <w:tcPr>
            <w:tcW w:type="dxa" w:w="170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占 12 个区域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热度 ≥ 40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西湖边 72 / 钱江新城 66 / 钱江世纪城 63 / 未来科技城 60 / 城西 56 / 滨江 52 / 云城 48 / 城东 45 / 之江 44</w:t>
            </w:r>
          </w:p>
        </w:tc>
        <w:tc>
          <w:tcPr>
            <w:tcW w:type="dxa" w:w="113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100%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9 个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25 ≤ 热度 &lt; 40</w:t>
            </w:r>
          </w:p>
        </w:tc>
        <w:tc>
          <w:tcPr>
            <w:tcW w:type="dxa" w:w="4876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城北 40 / 临平 38 / 三江汇 36</w:t>
            </w:r>
          </w:p>
        </w:tc>
        <w:tc>
          <w:tcPr>
            <w:tcW w:type="dxa" w:w="1134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50%</w:t>
            </w:r>
          </w:p>
        </w:tc>
        <w:tc>
          <w:tcPr>
            <w:tcW w:type="dxa" w:w="1701"/>
            <w:shd w:val="clear" w:color="auto" w:fill="F5F0E6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3 个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热度 &lt; 25</w:t>
            </w:r>
          </w:p>
        </w:tc>
        <w:tc>
          <w:tcPr>
            <w:tcW w:type="dxa" w:w="487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（仅事件重创后出现）</w:t>
            </w:r>
          </w:p>
        </w:tc>
        <w:tc>
          <w:tcPr>
            <w:tcW w:type="dxa" w:w="113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25%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0 个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若玩家持仓在区域间均匀分布，整体租金约折损 12.5%（3/12 的区域减半）。这是“退潮”的体感来源：第四章里押在临平、三江汇的人会真的失血，而不是照常收租。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E7D6F"/>
          <w:sz w:val="23"/>
        </w:rPr>
        <w:t>A.3 其余三项的影响与预期落点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6D0C4"/>
          <w:left w:val="single" w:sz="4" w:space="0" w:color="D6D0C4"/>
          <w:bottom w:val="single" w:sz="4" w:space="0" w:color="D6D0C4"/>
          <w:right w:val="single" w:sz="4" w:space="0" w:color="D6D0C4"/>
          <w:insideH w:val="single" w:sz="4" w:space="0" w:color="D6D0C4"/>
          <w:insideV w:val="single" w:sz="4" w:space="0" w:color="D6D0C4"/>
        </w:tblBorders>
        <w:tblCellMar>
          <w:top w:w="45" w:type="dxa"/>
          <w:left w:w="85" w:type="dxa"/>
          <w:bottom w:w="45" w:type="dxa"/>
          <w:right w:w="85" w:type="dxa"/>
        </w:tblCellMar>
        <w:tblW w:w="9412" w:type="dxa"/>
        <w:tblLayout w:type="fixed"/>
      </w:tblPr>
      <w:tblGrid>
        <w:gridCol w:w="2494"/>
        <w:gridCol w:w="4195"/>
        <w:gridCol w:w="2721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改动</w:t>
            </w:r>
          </w:p>
        </w:tc>
        <w:tc>
          <w:tcPr>
            <w:tcW w:type="dxa" w:w="4195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直接影响</w:t>
            </w:r>
          </w:p>
        </w:tc>
        <w:tc>
          <w:tcPr>
            <w:tcW w:type="dxa" w:w="2721"/>
            <w:shd w:val="clear" w:color="auto" w:fill="1B3A5C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6"/>
              </w:rPr>
              <w:t>预期方向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过路费上限 30% → 25%</w:t>
            </w:r>
          </w:p>
        </w:tc>
        <w:tc>
          <w:tcPr>
            <w:tcW w:type="dxa" w:w="419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只影响“单笔本来就会被砍”的极端情况，日常结算不变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对总量几乎无影响；把 8.3 红线真正变成硬约束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利率 0.48% → 0.6%（+25%）</w:t>
            </w:r>
          </w:p>
        </w:tc>
        <w:tc>
          <w:tcPr>
            <w:tcW w:type="dxa" w:w="4195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高杠杆玩家的月供上升，借钱买地的正利差收窄</w:t>
            </w:r>
          </w:p>
        </w:tc>
        <w:tc>
          <w:tcPr>
            <w:tcW w:type="dxa" w:w="2721"/>
            <w:shd w:val="clear" w:color="auto" w:fill="F5F0E6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杠杆率下降 → 中位杠杆从 19% 回到 20%—40% 区间；破产略升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租金率每级 +0.5%</w:t>
            </w:r>
          </w:p>
        </w:tc>
        <w:tc>
          <w:tcPr>
            <w:tcW w:type="dxa" w:w="4195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满级租金 2.0% → 2.8%（+40%）；Lv2 由 1.1% → 1.3%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/>
            <w:r>
              <w:rPr>
                <w:rFonts w:ascii="Segoe UI" w:hAnsi="Segoe UI" w:eastAsia="微软雅黑"/>
                <w:b/>
                <w:color w:val="B03A2E"/>
                <w:sz w:val="16"/>
              </w:rPr>
              <w:t>注入上升</w:t>
            </w:r>
            <w:r>
              <w:rPr>
                <w:rFonts w:ascii="Segoe UI" w:hAnsi="Segoe UI" w:eastAsia="微软雅黑"/>
                <w:b w:val="0"/>
                <w:color w:val="3A2E2A"/>
                <w:sz w:val="16"/>
              </w:rPr>
              <w:t>，需要靠空置率与税率对冲；否则破产率不会改善</w:t>
            </w:r>
          </w:p>
        </w:tc>
      </w:tr>
    </w:tbl>
    <w:p>
      <w:pPr>
        <w:spacing w:after="0" w:before="0" w:line="240" w:lineRule="auto"/>
      </w:pPr>
      <w:r>
        <w:rPr>
          <w:sz w:val="12"/>
        </w:rPr>
      </w:r>
    </w:p>
    <w:p>
      <w:pPr>
        <w:keepNext w:val="0"/>
        <w:spacing w:before="0" w:after="80" w:line="348" w:lineRule="auto"/>
      </w:pPr>
      <w:r>
        <w:rPr>
          <w:rFonts w:ascii="Segoe UI" w:hAnsi="Segoe UI" w:eastAsia="微软雅黑"/>
          <w:b w:val="0"/>
          <w:sz w:val="20"/>
        </w:rPr>
        <w:t>三项叠加后的净效应不确定：租金率与空置率方向相反，利率单向加压。预期破产从 0.5 人/局升到 1—2 人/局，但必须用模拟验证。若破产仍不足，优先调空置率阈值与累进税，不要继续动过路费——那条路已经走了五轮。</w:t>
      </w:r>
    </w:p>
    <w:p>
      <w:pPr>
        <w:keepNext w:val="0"/>
        <w:spacing w:before="0" w:after="160" w:line="348" w:lineRule="auto"/>
      </w:pPr>
    </w:p>
    <w:p>
      <w:pPr>
        <w:jc w:val="center"/>
      </w:pPr>
      <w:r>
        <w:rPr>
          <w:rFonts w:ascii="Segoe UI" w:hAnsi="Segoe UI" w:eastAsia="微软雅黑"/>
          <w:b w:val="0"/>
          <w:color w:val="6B6B6B"/>
          <w:sz w:val="17"/>
        </w:rPr>
        <w:t>—— 本文档结束 ·  需求口径以《杭州大富翁 游戏开发需求文档 V1.6》为准 ——</w:t>
      </w:r>
    </w:p>
    <w:sectPr w:rsidR="00FC693F" w:rsidRPr="0006063C" w:rsidSect="00034616">
      <w:footerReference w:type="default" r:id="rId9"/>
      <w:pgSz w:w="11906" w:h="16838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color w:val="6B6B6B"/>
        <w:sz w:val="15"/>
      </w:rPr>
      <w:t xml:space="preserve">杭州大富翁 · 开发计划与评审建议 V1.1　·　</w:t>
    </w:r>
    <w:fldSimple w:instr="PAGE">
      <w:r>
        <w:rPr>
          <w:sz w:val="1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Segoe UI" w:hAnsi="Segoe UI" w:eastAsia="微软雅黑"/>
      <w:color w:val="3A2E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