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2D404" w14:textId="77777777" w:rsidR="00F31C13" w:rsidRPr="00F155FF" w:rsidRDefault="00000000">
      <w:pPr>
        <w:spacing w:after="0"/>
        <w:ind w:left="0" w:firstLine="0"/>
        <w:jc w:val="center"/>
        <w:rPr>
          <w:rFonts w:ascii="Times New Roman" w:hAnsi="Times New Roman" w:cs="Times New Roman"/>
        </w:rPr>
      </w:pPr>
      <w:r w:rsidRPr="00F155FF">
        <w:rPr>
          <w:rFonts w:ascii="Times New Roman" w:hAnsi="Times New Roman" w:cs="Times New Roman"/>
          <w:b/>
          <w:color w:val="12344D"/>
          <w:sz w:val="50"/>
        </w:rPr>
        <w:t>CYBERSHIELD AI</w:t>
      </w:r>
    </w:p>
    <w:p w14:paraId="518C6BAD" w14:textId="77777777" w:rsidR="00F31C13" w:rsidRPr="00F155FF" w:rsidRDefault="00000000">
      <w:pPr>
        <w:spacing w:after="293"/>
        <w:ind w:left="0" w:firstLine="0"/>
        <w:jc w:val="center"/>
        <w:rPr>
          <w:rFonts w:ascii="Times New Roman" w:hAnsi="Times New Roman" w:cs="Times New Roman"/>
          <w:color w:val="486581"/>
          <w:sz w:val="21"/>
        </w:rPr>
      </w:pPr>
      <w:r w:rsidRPr="00F155FF">
        <w:rPr>
          <w:rFonts w:ascii="Times New Roman" w:hAnsi="Times New Roman" w:cs="Times New Roman"/>
          <w:color w:val="486581"/>
          <w:sz w:val="21"/>
        </w:rPr>
        <w:t xml:space="preserve">FICHE TECHNIQUE </w:t>
      </w:r>
    </w:p>
    <w:p w14:paraId="4DA9435F" w14:textId="77777777" w:rsidR="00F155FF" w:rsidRPr="00F155FF" w:rsidRDefault="00F155FF">
      <w:pPr>
        <w:spacing w:after="293"/>
        <w:ind w:left="0" w:firstLine="0"/>
        <w:jc w:val="center"/>
        <w:rPr>
          <w:rFonts w:ascii="Times New Roman" w:hAnsi="Times New Roman" w:cs="Times New Roman"/>
          <w:color w:val="486581"/>
          <w:sz w:val="21"/>
        </w:rPr>
      </w:pPr>
    </w:p>
    <w:p w14:paraId="67FC1712" w14:textId="77777777" w:rsidR="00F155FF" w:rsidRPr="00F155FF" w:rsidRDefault="00F155FF">
      <w:pPr>
        <w:spacing w:after="293"/>
        <w:ind w:left="0" w:firstLine="0"/>
        <w:jc w:val="center"/>
        <w:rPr>
          <w:rFonts w:ascii="Times New Roman" w:hAnsi="Times New Roman" w:cs="Times New Roman"/>
          <w:color w:val="486581"/>
          <w:sz w:val="21"/>
        </w:rPr>
      </w:pPr>
    </w:p>
    <w:p w14:paraId="2C0D27E8" w14:textId="77777777" w:rsidR="00F155FF" w:rsidRPr="00F155FF" w:rsidRDefault="00F155FF">
      <w:pPr>
        <w:spacing w:after="293"/>
        <w:ind w:left="0" w:firstLine="0"/>
        <w:jc w:val="center"/>
        <w:rPr>
          <w:rFonts w:ascii="Times New Roman" w:hAnsi="Times New Roman" w:cs="Times New Roman"/>
          <w:color w:val="486581"/>
          <w:sz w:val="21"/>
        </w:rPr>
      </w:pPr>
    </w:p>
    <w:p w14:paraId="72523789" w14:textId="77777777" w:rsidR="00F155FF" w:rsidRPr="00F155FF" w:rsidRDefault="00F155FF">
      <w:pPr>
        <w:spacing w:after="293"/>
        <w:ind w:left="0" w:firstLine="0"/>
        <w:jc w:val="center"/>
        <w:rPr>
          <w:rFonts w:ascii="Times New Roman" w:hAnsi="Times New Roman" w:cs="Times New Roman"/>
          <w:color w:val="486581"/>
          <w:sz w:val="21"/>
        </w:rPr>
      </w:pPr>
    </w:p>
    <w:p w14:paraId="6AC1082C" w14:textId="77777777" w:rsidR="00F155FF" w:rsidRPr="00F155FF" w:rsidRDefault="00F155FF">
      <w:pPr>
        <w:spacing w:after="293"/>
        <w:ind w:left="0" w:firstLine="0"/>
        <w:jc w:val="center"/>
        <w:rPr>
          <w:rFonts w:ascii="Times New Roman" w:hAnsi="Times New Roman" w:cs="Times New Roman"/>
        </w:rPr>
      </w:pPr>
    </w:p>
    <w:p w14:paraId="130BBDF7" w14:textId="77777777" w:rsidR="00F31C13" w:rsidRPr="00F155FF" w:rsidRDefault="00000000">
      <w:pPr>
        <w:spacing w:after="173"/>
        <w:ind w:left="842"/>
        <w:rPr>
          <w:rFonts w:ascii="Times New Roman" w:hAnsi="Times New Roman" w:cs="Times New Roman"/>
        </w:rPr>
      </w:pPr>
      <w:r w:rsidRPr="00F155FF">
        <w:rPr>
          <w:rFonts w:ascii="Times New Roman" w:hAnsi="Times New Roman" w:cs="Times New Roman"/>
          <w:b/>
          <w:color w:val="007C91"/>
          <w:sz w:val="20"/>
        </w:rPr>
        <w:t>Plateforme intelligente d’assistance et de protection à la cybersécurité</w:t>
      </w:r>
    </w:p>
    <w:tbl>
      <w:tblPr>
        <w:tblStyle w:val="TableGrid"/>
        <w:tblW w:w="9638" w:type="dxa"/>
        <w:tblInd w:w="50" w:type="dxa"/>
        <w:tblCellMar>
          <w:top w:w="0" w:type="dxa"/>
          <w:left w:w="140" w:type="dxa"/>
          <w:bottom w:w="0" w:type="dxa"/>
          <w:right w:w="115" w:type="dxa"/>
        </w:tblCellMar>
        <w:tblLook w:val="04A0" w:firstRow="1" w:lastRow="0" w:firstColumn="1" w:lastColumn="0" w:noHBand="0" w:noVBand="1"/>
      </w:tblPr>
      <w:tblGrid>
        <w:gridCol w:w="2721"/>
        <w:gridCol w:w="6917"/>
      </w:tblGrid>
      <w:tr w:rsidR="00F31C13" w:rsidRPr="00F155FF" w14:paraId="4B7E79BC" w14:textId="77777777">
        <w:trPr>
          <w:trHeight w:val="500"/>
        </w:trPr>
        <w:tc>
          <w:tcPr>
            <w:tcW w:w="2721" w:type="dxa"/>
            <w:tcBorders>
              <w:top w:val="single" w:sz="6" w:space="0" w:color="BCCCDC"/>
              <w:left w:val="single" w:sz="6" w:space="0" w:color="BCCCDC"/>
              <w:bottom w:val="single" w:sz="2" w:space="0" w:color="D9E2EC"/>
              <w:right w:val="single" w:sz="2" w:space="0" w:color="D9E2EC"/>
            </w:tcBorders>
            <w:shd w:val="clear" w:color="auto" w:fill="EAF2F8"/>
            <w:vAlign w:val="center"/>
          </w:tcPr>
          <w:p w14:paraId="448378B5"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Concours</w:t>
            </w:r>
          </w:p>
        </w:tc>
        <w:tc>
          <w:tcPr>
            <w:tcW w:w="6917" w:type="dxa"/>
            <w:tcBorders>
              <w:top w:val="single" w:sz="6" w:space="0" w:color="BCCCDC"/>
              <w:left w:val="single" w:sz="2" w:space="0" w:color="D9E2EC"/>
              <w:bottom w:val="single" w:sz="2" w:space="0" w:color="D9E2EC"/>
              <w:right w:val="single" w:sz="6" w:space="0" w:color="BCCCDC"/>
            </w:tcBorders>
            <w:vAlign w:val="center"/>
          </w:tcPr>
          <w:p w14:paraId="02BA98A4"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Concours Innovation</w:t>
            </w:r>
            <w:r w:rsidR="00F52C76" w:rsidRPr="00F155FF">
              <w:rPr>
                <w:rFonts w:ascii="Times New Roman" w:hAnsi="Times New Roman" w:cs="Times New Roman"/>
                <w:sz w:val="24"/>
              </w:rPr>
              <w:t> :</w:t>
            </w:r>
            <w:r w:rsidRPr="00F155FF">
              <w:rPr>
                <w:rFonts w:ascii="Times New Roman" w:hAnsi="Times New Roman" w:cs="Times New Roman"/>
                <w:sz w:val="24"/>
              </w:rPr>
              <w:t xml:space="preserve"> Journées Nationales de la Cybersécurité (JNC), Mali</w:t>
            </w:r>
          </w:p>
        </w:tc>
      </w:tr>
      <w:tr w:rsidR="00F31C13" w:rsidRPr="00F155FF" w14:paraId="1CBAE0C7" w14:textId="77777777">
        <w:trPr>
          <w:trHeight w:val="500"/>
        </w:trPr>
        <w:tc>
          <w:tcPr>
            <w:tcW w:w="2721" w:type="dxa"/>
            <w:tcBorders>
              <w:top w:val="single" w:sz="2" w:space="0" w:color="D9E2EC"/>
              <w:left w:val="single" w:sz="6" w:space="0" w:color="BCCCDC"/>
              <w:bottom w:val="single" w:sz="2" w:space="0" w:color="D9E2EC"/>
              <w:right w:val="single" w:sz="2" w:space="0" w:color="D9E2EC"/>
            </w:tcBorders>
            <w:shd w:val="clear" w:color="auto" w:fill="EAF2F8"/>
            <w:vAlign w:val="center"/>
          </w:tcPr>
          <w:p w14:paraId="4E10F6F1"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Nom commercial</w:t>
            </w:r>
          </w:p>
        </w:tc>
        <w:tc>
          <w:tcPr>
            <w:tcW w:w="6917" w:type="dxa"/>
            <w:tcBorders>
              <w:top w:val="single" w:sz="2" w:space="0" w:color="D9E2EC"/>
              <w:left w:val="single" w:sz="2" w:space="0" w:color="D9E2EC"/>
              <w:bottom w:val="single" w:sz="2" w:space="0" w:color="D9E2EC"/>
              <w:right w:val="single" w:sz="6" w:space="0" w:color="BCCCDC"/>
            </w:tcBorders>
            <w:vAlign w:val="center"/>
          </w:tcPr>
          <w:p w14:paraId="7BDE5DA1"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CyberShield AI</w:t>
            </w:r>
          </w:p>
        </w:tc>
      </w:tr>
      <w:tr w:rsidR="00F31C13" w:rsidRPr="00F155FF" w14:paraId="4CCFCBED" w14:textId="77777777">
        <w:trPr>
          <w:trHeight w:val="760"/>
        </w:trPr>
        <w:tc>
          <w:tcPr>
            <w:tcW w:w="2721" w:type="dxa"/>
            <w:tcBorders>
              <w:top w:val="single" w:sz="2" w:space="0" w:color="D9E2EC"/>
              <w:left w:val="single" w:sz="6" w:space="0" w:color="BCCCDC"/>
              <w:bottom w:val="single" w:sz="2" w:space="0" w:color="D9E2EC"/>
              <w:right w:val="single" w:sz="2" w:space="0" w:color="D9E2EC"/>
            </w:tcBorders>
            <w:shd w:val="clear" w:color="auto" w:fill="EAF2F8"/>
            <w:vAlign w:val="center"/>
          </w:tcPr>
          <w:p w14:paraId="484DEC5D"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Positionnement scientifique</w:t>
            </w:r>
          </w:p>
        </w:tc>
        <w:tc>
          <w:tcPr>
            <w:tcW w:w="6917" w:type="dxa"/>
            <w:tcBorders>
              <w:top w:val="single" w:sz="2" w:space="0" w:color="D9E2EC"/>
              <w:left w:val="single" w:sz="2" w:space="0" w:color="D9E2EC"/>
              <w:bottom w:val="single" w:sz="2" w:space="0" w:color="D9E2EC"/>
              <w:right w:val="single" w:sz="6" w:space="0" w:color="BCCCDC"/>
            </w:tcBorders>
            <w:vAlign w:val="center"/>
          </w:tcPr>
          <w:p w14:paraId="70717CDB"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Architecture hybride intelligente de protection des applications web contre les cyberattaques</w:t>
            </w:r>
          </w:p>
        </w:tc>
      </w:tr>
      <w:tr w:rsidR="00F31C13" w:rsidRPr="00F155FF" w14:paraId="0489C20C" w14:textId="77777777">
        <w:trPr>
          <w:trHeight w:val="500"/>
        </w:trPr>
        <w:tc>
          <w:tcPr>
            <w:tcW w:w="2721" w:type="dxa"/>
            <w:tcBorders>
              <w:top w:val="single" w:sz="2" w:space="0" w:color="D9E2EC"/>
              <w:left w:val="single" w:sz="6" w:space="0" w:color="BCCCDC"/>
              <w:bottom w:val="single" w:sz="2" w:space="0" w:color="D9E2EC"/>
              <w:right w:val="single" w:sz="2" w:space="0" w:color="D9E2EC"/>
            </w:tcBorders>
            <w:shd w:val="clear" w:color="auto" w:fill="EAF2F8"/>
            <w:vAlign w:val="center"/>
          </w:tcPr>
          <w:p w14:paraId="5ACF325D"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Produit</w:t>
            </w:r>
          </w:p>
        </w:tc>
        <w:tc>
          <w:tcPr>
            <w:tcW w:w="6917" w:type="dxa"/>
            <w:tcBorders>
              <w:top w:val="single" w:sz="2" w:space="0" w:color="D9E2EC"/>
              <w:left w:val="single" w:sz="2" w:space="0" w:color="D9E2EC"/>
              <w:bottom w:val="single" w:sz="2" w:space="0" w:color="D9E2EC"/>
              <w:right w:val="single" w:sz="6" w:space="0" w:color="BCCCDC"/>
            </w:tcBorders>
            <w:vAlign w:val="center"/>
          </w:tcPr>
          <w:p w14:paraId="59CC0FDF"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Plateforme intelligente d’assistance à la cybersécurité</w:t>
            </w:r>
          </w:p>
        </w:tc>
      </w:tr>
      <w:tr w:rsidR="00F31C13" w:rsidRPr="00F155FF" w14:paraId="05B8BE70" w14:textId="77777777">
        <w:trPr>
          <w:trHeight w:val="500"/>
        </w:trPr>
        <w:tc>
          <w:tcPr>
            <w:tcW w:w="2721" w:type="dxa"/>
            <w:tcBorders>
              <w:top w:val="single" w:sz="2" w:space="0" w:color="D9E2EC"/>
              <w:left w:val="single" w:sz="6" w:space="0" w:color="BCCCDC"/>
              <w:bottom w:val="single" w:sz="2" w:space="0" w:color="D9E2EC"/>
              <w:right w:val="single" w:sz="2" w:space="0" w:color="D9E2EC"/>
            </w:tcBorders>
            <w:shd w:val="clear" w:color="auto" w:fill="EAF2F8"/>
            <w:vAlign w:val="center"/>
          </w:tcPr>
          <w:p w14:paraId="33E5E648"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Porteur</w:t>
            </w:r>
          </w:p>
        </w:tc>
        <w:tc>
          <w:tcPr>
            <w:tcW w:w="6917" w:type="dxa"/>
            <w:tcBorders>
              <w:top w:val="single" w:sz="2" w:space="0" w:color="D9E2EC"/>
              <w:left w:val="single" w:sz="2" w:space="0" w:color="D9E2EC"/>
              <w:bottom w:val="single" w:sz="2" w:space="0" w:color="D9E2EC"/>
              <w:right w:val="single" w:sz="6" w:space="0" w:color="BCCCDC"/>
            </w:tcBorders>
            <w:vAlign w:val="center"/>
          </w:tcPr>
          <w:p w14:paraId="15C01A2C" w14:textId="77777777" w:rsidR="00F31C13" w:rsidRPr="00F155FF" w:rsidRDefault="00F52C76">
            <w:pPr>
              <w:spacing w:after="0"/>
              <w:ind w:left="0" w:firstLine="0"/>
              <w:rPr>
                <w:rFonts w:ascii="Times New Roman" w:hAnsi="Times New Roman" w:cs="Times New Roman"/>
                <w:sz w:val="24"/>
              </w:rPr>
            </w:pPr>
            <w:r w:rsidRPr="00F155FF">
              <w:rPr>
                <w:rFonts w:ascii="Times New Roman" w:hAnsi="Times New Roman" w:cs="Times New Roman"/>
                <w:sz w:val="24"/>
              </w:rPr>
              <w:t>Se</w:t>
            </w:r>
            <w:r w:rsidR="00000000" w:rsidRPr="00F155FF">
              <w:rPr>
                <w:rFonts w:ascii="Times New Roman" w:hAnsi="Times New Roman" w:cs="Times New Roman"/>
                <w:sz w:val="24"/>
              </w:rPr>
              <w:t>kou Doucour</w:t>
            </w:r>
            <w:r w:rsidRPr="00F155FF">
              <w:rPr>
                <w:rFonts w:ascii="Times New Roman" w:hAnsi="Times New Roman" w:cs="Times New Roman"/>
                <w:sz w:val="24"/>
              </w:rPr>
              <w:t>e</w:t>
            </w:r>
          </w:p>
        </w:tc>
      </w:tr>
      <w:tr w:rsidR="00F31C13" w:rsidRPr="00F155FF" w14:paraId="21EF318B" w14:textId="77777777">
        <w:trPr>
          <w:trHeight w:val="500"/>
        </w:trPr>
        <w:tc>
          <w:tcPr>
            <w:tcW w:w="2721" w:type="dxa"/>
            <w:tcBorders>
              <w:top w:val="single" w:sz="2" w:space="0" w:color="D9E2EC"/>
              <w:left w:val="single" w:sz="6" w:space="0" w:color="BCCCDC"/>
              <w:bottom w:val="single" w:sz="2" w:space="0" w:color="D9E2EC"/>
              <w:right w:val="single" w:sz="2" w:space="0" w:color="D9E2EC"/>
            </w:tcBorders>
            <w:shd w:val="clear" w:color="auto" w:fill="EAF2F8"/>
            <w:vAlign w:val="center"/>
          </w:tcPr>
          <w:p w14:paraId="1B6E87DC"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Équipe</w:t>
            </w:r>
          </w:p>
        </w:tc>
        <w:tc>
          <w:tcPr>
            <w:tcW w:w="6917" w:type="dxa"/>
            <w:tcBorders>
              <w:top w:val="single" w:sz="2" w:space="0" w:color="D9E2EC"/>
              <w:left w:val="single" w:sz="2" w:space="0" w:color="D9E2EC"/>
              <w:bottom w:val="single" w:sz="2" w:space="0" w:color="D9E2EC"/>
              <w:right w:val="single" w:sz="6" w:space="0" w:color="BCCCDC"/>
            </w:tcBorders>
            <w:vAlign w:val="center"/>
          </w:tcPr>
          <w:p w14:paraId="7A5ECD19" w14:textId="64F8323F"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S</w:t>
            </w:r>
            <w:r w:rsidR="00C54708">
              <w:rPr>
                <w:rFonts w:ascii="Times New Roman" w:hAnsi="Times New Roman" w:cs="Times New Roman"/>
                <w:sz w:val="24"/>
              </w:rPr>
              <w:t>e</w:t>
            </w:r>
            <w:r w:rsidRPr="00F155FF">
              <w:rPr>
                <w:rFonts w:ascii="Times New Roman" w:hAnsi="Times New Roman" w:cs="Times New Roman"/>
                <w:sz w:val="24"/>
              </w:rPr>
              <w:t>kou Doucour</w:t>
            </w:r>
            <w:r w:rsidR="00F155FF" w:rsidRPr="00F155FF">
              <w:rPr>
                <w:rFonts w:ascii="Times New Roman" w:hAnsi="Times New Roman" w:cs="Times New Roman"/>
                <w:sz w:val="24"/>
              </w:rPr>
              <w:t xml:space="preserve">e </w:t>
            </w:r>
            <w:r w:rsidRPr="00F155FF">
              <w:rPr>
                <w:rFonts w:ascii="Times New Roman" w:hAnsi="Times New Roman" w:cs="Times New Roman"/>
                <w:sz w:val="24"/>
              </w:rPr>
              <w:t xml:space="preserve"> &amp; </w:t>
            </w:r>
            <w:r w:rsidR="00F155FF" w:rsidRPr="00F155FF">
              <w:rPr>
                <w:rFonts w:ascii="Times New Roman" w:hAnsi="Times New Roman" w:cs="Times New Roman"/>
                <w:sz w:val="24"/>
              </w:rPr>
              <w:t>Hawa Thiama</w:t>
            </w:r>
          </w:p>
        </w:tc>
      </w:tr>
      <w:tr w:rsidR="00F31C13" w:rsidRPr="00F155FF" w14:paraId="796F94AA" w14:textId="77777777">
        <w:trPr>
          <w:trHeight w:val="500"/>
        </w:trPr>
        <w:tc>
          <w:tcPr>
            <w:tcW w:w="2721" w:type="dxa"/>
            <w:tcBorders>
              <w:top w:val="single" w:sz="2" w:space="0" w:color="D9E2EC"/>
              <w:left w:val="single" w:sz="6" w:space="0" w:color="BCCCDC"/>
              <w:bottom w:val="single" w:sz="2" w:space="0" w:color="D9E2EC"/>
              <w:right w:val="single" w:sz="2" w:space="0" w:color="D9E2EC"/>
            </w:tcBorders>
            <w:shd w:val="clear" w:color="auto" w:fill="EAF2F8"/>
            <w:vAlign w:val="center"/>
          </w:tcPr>
          <w:p w14:paraId="704C65E7"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Établissement</w:t>
            </w:r>
          </w:p>
        </w:tc>
        <w:tc>
          <w:tcPr>
            <w:tcW w:w="6917" w:type="dxa"/>
            <w:tcBorders>
              <w:top w:val="single" w:sz="2" w:space="0" w:color="D9E2EC"/>
              <w:left w:val="single" w:sz="2" w:space="0" w:color="D9E2EC"/>
              <w:bottom w:val="single" w:sz="2" w:space="0" w:color="D9E2EC"/>
              <w:right w:val="single" w:sz="6" w:space="0" w:color="BCCCDC"/>
            </w:tcBorders>
            <w:vAlign w:val="center"/>
          </w:tcPr>
          <w:p w14:paraId="3DEE48E7"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École Nationale d’Ingénieurs Abderhamane Baba Touré (ENI-ABT), Bamako</w:t>
            </w:r>
          </w:p>
        </w:tc>
      </w:tr>
      <w:tr w:rsidR="00F31C13" w:rsidRPr="00F155FF" w14:paraId="46F84C1F" w14:textId="77777777">
        <w:trPr>
          <w:trHeight w:val="500"/>
        </w:trPr>
        <w:tc>
          <w:tcPr>
            <w:tcW w:w="2721" w:type="dxa"/>
            <w:tcBorders>
              <w:top w:val="single" w:sz="2" w:space="0" w:color="D9E2EC"/>
              <w:left w:val="single" w:sz="6" w:space="0" w:color="BCCCDC"/>
              <w:bottom w:val="single" w:sz="2" w:space="0" w:color="D9E2EC"/>
              <w:right w:val="single" w:sz="2" w:space="0" w:color="D9E2EC"/>
            </w:tcBorders>
            <w:shd w:val="clear" w:color="auto" w:fill="EAF2F8"/>
            <w:vAlign w:val="center"/>
          </w:tcPr>
          <w:p w14:paraId="48A73A4A"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Domaine</w:t>
            </w:r>
          </w:p>
        </w:tc>
        <w:tc>
          <w:tcPr>
            <w:tcW w:w="6917" w:type="dxa"/>
            <w:tcBorders>
              <w:top w:val="single" w:sz="2" w:space="0" w:color="D9E2EC"/>
              <w:left w:val="single" w:sz="2" w:space="0" w:color="D9E2EC"/>
              <w:bottom w:val="single" w:sz="2" w:space="0" w:color="D9E2EC"/>
              <w:right w:val="single" w:sz="6" w:space="0" w:color="BCCCDC"/>
            </w:tcBorders>
            <w:vAlign w:val="center"/>
          </w:tcPr>
          <w:p w14:paraId="5273FE86"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Cybersécurité • Intelligence artificielle • Sécurité des applications web</w:t>
            </w:r>
          </w:p>
        </w:tc>
      </w:tr>
      <w:tr w:rsidR="00F31C13" w:rsidRPr="00F155FF" w14:paraId="3693DA12" w14:textId="77777777">
        <w:trPr>
          <w:trHeight w:val="500"/>
        </w:trPr>
        <w:tc>
          <w:tcPr>
            <w:tcW w:w="2721" w:type="dxa"/>
            <w:tcBorders>
              <w:top w:val="single" w:sz="2" w:space="0" w:color="D9E2EC"/>
              <w:left w:val="single" w:sz="6" w:space="0" w:color="BCCCDC"/>
              <w:bottom w:val="single" w:sz="6" w:space="0" w:color="BCCCDC"/>
              <w:right w:val="single" w:sz="2" w:space="0" w:color="D9E2EC"/>
            </w:tcBorders>
            <w:shd w:val="clear" w:color="auto" w:fill="EAF2F8"/>
            <w:vAlign w:val="center"/>
          </w:tcPr>
          <w:p w14:paraId="3E8D1B40"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b/>
                <w:color w:val="12344D"/>
                <w:sz w:val="24"/>
              </w:rPr>
              <w:t>Stade</w:t>
            </w:r>
          </w:p>
        </w:tc>
        <w:tc>
          <w:tcPr>
            <w:tcW w:w="6917" w:type="dxa"/>
            <w:tcBorders>
              <w:top w:val="single" w:sz="2" w:space="0" w:color="D9E2EC"/>
              <w:left w:val="single" w:sz="2" w:space="0" w:color="D9E2EC"/>
              <w:bottom w:val="single" w:sz="6" w:space="0" w:color="BCCCDC"/>
              <w:right w:val="single" w:sz="6" w:space="0" w:color="BCCCDC"/>
            </w:tcBorders>
            <w:vAlign w:val="center"/>
          </w:tcPr>
          <w:p w14:paraId="465B45DC"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sz w:val="24"/>
              </w:rPr>
              <w:t>MVP fonctionnel / preuve de concept validée</w:t>
            </w:r>
          </w:p>
        </w:tc>
      </w:tr>
    </w:tbl>
    <w:p w14:paraId="6121B383" w14:textId="77777777" w:rsidR="00F31C13" w:rsidRPr="00F155FF" w:rsidRDefault="00000000">
      <w:pPr>
        <w:spacing w:after="0"/>
        <w:ind w:left="0" w:firstLine="0"/>
        <w:jc w:val="center"/>
        <w:rPr>
          <w:rFonts w:ascii="Times New Roman" w:hAnsi="Times New Roman" w:cs="Times New Roman"/>
          <w:b/>
          <w:color w:val="007C91"/>
          <w:sz w:val="24"/>
        </w:rPr>
      </w:pPr>
      <w:r w:rsidRPr="00F155FF">
        <w:rPr>
          <w:rFonts w:ascii="Times New Roman" w:hAnsi="Times New Roman" w:cs="Times New Roman"/>
          <w:b/>
          <w:color w:val="007C91"/>
          <w:sz w:val="24"/>
        </w:rPr>
        <w:t>Détecter. Comprendre. Prioriser. Accompagner. Protéger.</w:t>
      </w:r>
    </w:p>
    <w:p w14:paraId="048D0885" w14:textId="77777777" w:rsidR="00F155FF" w:rsidRPr="00F155FF" w:rsidRDefault="00F155FF">
      <w:pPr>
        <w:spacing w:after="0"/>
        <w:ind w:left="0" w:firstLine="0"/>
        <w:jc w:val="center"/>
        <w:rPr>
          <w:rFonts w:ascii="Times New Roman" w:hAnsi="Times New Roman" w:cs="Times New Roman"/>
          <w:b/>
          <w:color w:val="007C91"/>
          <w:sz w:val="24"/>
        </w:rPr>
      </w:pPr>
    </w:p>
    <w:p w14:paraId="753EDD0E" w14:textId="77777777" w:rsidR="00F155FF" w:rsidRPr="00F155FF" w:rsidRDefault="00F155FF">
      <w:pPr>
        <w:spacing w:after="0"/>
        <w:ind w:left="0" w:firstLine="0"/>
        <w:jc w:val="center"/>
        <w:rPr>
          <w:rFonts w:ascii="Times New Roman" w:hAnsi="Times New Roman" w:cs="Times New Roman"/>
          <w:b/>
          <w:color w:val="007C91"/>
          <w:sz w:val="24"/>
        </w:rPr>
      </w:pPr>
    </w:p>
    <w:p w14:paraId="087AFAE0" w14:textId="77777777" w:rsidR="00F155FF" w:rsidRPr="00F155FF" w:rsidRDefault="00F155FF">
      <w:pPr>
        <w:spacing w:after="0"/>
        <w:ind w:left="0" w:firstLine="0"/>
        <w:jc w:val="center"/>
        <w:rPr>
          <w:rFonts w:ascii="Times New Roman" w:hAnsi="Times New Roman" w:cs="Times New Roman"/>
          <w:b/>
          <w:color w:val="007C91"/>
          <w:sz w:val="24"/>
        </w:rPr>
      </w:pPr>
    </w:p>
    <w:p w14:paraId="509F2D1A" w14:textId="77777777" w:rsidR="00F155FF" w:rsidRPr="00F155FF" w:rsidRDefault="00F155FF">
      <w:pPr>
        <w:spacing w:after="0"/>
        <w:ind w:left="0" w:firstLine="0"/>
        <w:jc w:val="center"/>
        <w:rPr>
          <w:rFonts w:ascii="Times New Roman" w:hAnsi="Times New Roman" w:cs="Times New Roman"/>
          <w:b/>
          <w:color w:val="007C91"/>
          <w:sz w:val="24"/>
        </w:rPr>
      </w:pPr>
    </w:p>
    <w:p w14:paraId="5183B123" w14:textId="77777777" w:rsidR="00F155FF" w:rsidRPr="00F155FF" w:rsidRDefault="00F155FF">
      <w:pPr>
        <w:spacing w:after="0"/>
        <w:ind w:left="0" w:firstLine="0"/>
        <w:jc w:val="center"/>
        <w:rPr>
          <w:rFonts w:ascii="Times New Roman" w:hAnsi="Times New Roman" w:cs="Times New Roman"/>
          <w:b/>
          <w:color w:val="007C91"/>
          <w:sz w:val="20"/>
        </w:rPr>
      </w:pPr>
    </w:p>
    <w:p w14:paraId="6C09AB38" w14:textId="77777777" w:rsidR="00F155FF" w:rsidRPr="00F155FF" w:rsidRDefault="00F155FF">
      <w:pPr>
        <w:spacing w:after="0"/>
        <w:ind w:left="0" w:firstLine="0"/>
        <w:jc w:val="center"/>
        <w:rPr>
          <w:rFonts w:ascii="Times New Roman" w:hAnsi="Times New Roman" w:cs="Times New Roman"/>
          <w:b/>
          <w:color w:val="007C91"/>
          <w:sz w:val="20"/>
        </w:rPr>
      </w:pPr>
    </w:p>
    <w:p w14:paraId="2606581D" w14:textId="77777777" w:rsidR="00F155FF" w:rsidRPr="00F155FF" w:rsidRDefault="00F155FF">
      <w:pPr>
        <w:spacing w:after="0"/>
        <w:ind w:left="0" w:firstLine="0"/>
        <w:jc w:val="center"/>
        <w:rPr>
          <w:rFonts w:ascii="Times New Roman" w:hAnsi="Times New Roman" w:cs="Times New Roman"/>
          <w:b/>
          <w:color w:val="007C91"/>
          <w:sz w:val="20"/>
        </w:rPr>
      </w:pPr>
    </w:p>
    <w:p w14:paraId="2E7A64E7" w14:textId="77777777" w:rsidR="00F155FF" w:rsidRPr="00F155FF" w:rsidRDefault="00F155FF">
      <w:pPr>
        <w:spacing w:after="0"/>
        <w:ind w:left="0" w:firstLine="0"/>
        <w:jc w:val="center"/>
        <w:rPr>
          <w:rFonts w:ascii="Times New Roman" w:hAnsi="Times New Roman" w:cs="Times New Roman"/>
          <w:b/>
          <w:color w:val="007C91"/>
          <w:sz w:val="20"/>
        </w:rPr>
      </w:pPr>
    </w:p>
    <w:p w14:paraId="7C7D48F7" w14:textId="77777777" w:rsidR="00F155FF" w:rsidRPr="00F155FF" w:rsidRDefault="00F155FF">
      <w:pPr>
        <w:spacing w:after="0"/>
        <w:ind w:left="0" w:firstLine="0"/>
        <w:jc w:val="center"/>
        <w:rPr>
          <w:rFonts w:ascii="Times New Roman" w:hAnsi="Times New Roman" w:cs="Times New Roman"/>
          <w:b/>
          <w:color w:val="007C91"/>
          <w:sz w:val="20"/>
        </w:rPr>
      </w:pPr>
    </w:p>
    <w:p w14:paraId="5C4DAD43" w14:textId="77777777" w:rsidR="00F155FF" w:rsidRPr="00F155FF" w:rsidRDefault="00F155FF">
      <w:pPr>
        <w:spacing w:after="0"/>
        <w:ind w:left="0" w:firstLine="0"/>
        <w:jc w:val="center"/>
        <w:rPr>
          <w:rFonts w:ascii="Times New Roman" w:hAnsi="Times New Roman" w:cs="Times New Roman"/>
          <w:b/>
          <w:color w:val="007C91"/>
          <w:sz w:val="20"/>
        </w:rPr>
      </w:pPr>
    </w:p>
    <w:p w14:paraId="41592CB0" w14:textId="77777777" w:rsidR="00F155FF" w:rsidRPr="00F155FF" w:rsidRDefault="00F155FF">
      <w:pPr>
        <w:spacing w:after="0"/>
        <w:ind w:left="0" w:firstLine="0"/>
        <w:jc w:val="center"/>
        <w:rPr>
          <w:rFonts w:ascii="Times New Roman" w:hAnsi="Times New Roman" w:cs="Times New Roman"/>
          <w:b/>
          <w:color w:val="007C91"/>
          <w:sz w:val="20"/>
        </w:rPr>
      </w:pPr>
    </w:p>
    <w:p w14:paraId="42ADACFC" w14:textId="77777777" w:rsidR="00F155FF" w:rsidRPr="00F155FF" w:rsidRDefault="00F155FF">
      <w:pPr>
        <w:spacing w:after="0"/>
        <w:ind w:left="0" w:firstLine="0"/>
        <w:jc w:val="center"/>
        <w:rPr>
          <w:rFonts w:ascii="Times New Roman" w:hAnsi="Times New Roman" w:cs="Times New Roman"/>
          <w:b/>
          <w:color w:val="007C91"/>
          <w:sz w:val="20"/>
        </w:rPr>
      </w:pPr>
    </w:p>
    <w:p w14:paraId="641F53EA" w14:textId="77777777" w:rsidR="00F155FF" w:rsidRPr="00F155FF" w:rsidRDefault="00F155FF">
      <w:pPr>
        <w:spacing w:after="0"/>
        <w:ind w:left="0" w:firstLine="0"/>
        <w:jc w:val="center"/>
        <w:rPr>
          <w:rFonts w:ascii="Times New Roman" w:hAnsi="Times New Roman" w:cs="Times New Roman"/>
          <w:b/>
          <w:color w:val="007C91"/>
          <w:sz w:val="20"/>
        </w:rPr>
      </w:pPr>
    </w:p>
    <w:p w14:paraId="440DAE09" w14:textId="77777777" w:rsidR="00F155FF" w:rsidRPr="00F155FF" w:rsidRDefault="00F155FF">
      <w:pPr>
        <w:spacing w:after="0"/>
        <w:ind w:left="0" w:firstLine="0"/>
        <w:jc w:val="center"/>
        <w:rPr>
          <w:rFonts w:ascii="Times New Roman" w:hAnsi="Times New Roman" w:cs="Times New Roman"/>
          <w:b/>
          <w:color w:val="007C91"/>
          <w:sz w:val="20"/>
        </w:rPr>
      </w:pPr>
    </w:p>
    <w:p w14:paraId="65E51E7F" w14:textId="77777777" w:rsidR="00F155FF" w:rsidRPr="00F155FF" w:rsidRDefault="00F155FF">
      <w:pPr>
        <w:spacing w:after="0"/>
        <w:ind w:left="0" w:firstLine="0"/>
        <w:jc w:val="center"/>
        <w:rPr>
          <w:rFonts w:ascii="Times New Roman" w:hAnsi="Times New Roman" w:cs="Times New Roman"/>
          <w:b/>
          <w:color w:val="007C91"/>
          <w:sz w:val="20"/>
        </w:rPr>
      </w:pPr>
    </w:p>
    <w:p w14:paraId="3D7C395E" w14:textId="77777777" w:rsidR="00F155FF" w:rsidRPr="00F155FF" w:rsidRDefault="00F155FF">
      <w:pPr>
        <w:spacing w:after="0"/>
        <w:ind w:left="0" w:firstLine="0"/>
        <w:jc w:val="center"/>
        <w:rPr>
          <w:rFonts w:ascii="Times New Roman" w:hAnsi="Times New Roman" w:cs="Times New Roman"/>
          <w:b/>
          <w:color w:val="007C91"/>
          <w:sz w:val="20"/>
        </w:rPr>
      </w:pPr>
    </w:p>
    <w:p w14:paraId="78BCBC70" w14:textId="77777777" w:rsidR="00F155FF" w:rsidRPr="00F155FF" w:rsidRDefault="00F155FF">
      <w:pPr>
        <w:spacing w:after="0"/>
        <w:ind w:left="0" w:firstLine="0"/>
        <w:jc w:val="center"/>
        <w:rPr>
          <w:rFonts w:ascii="Times New Roman" w:hAnsi="Times New Roman" w:cs="Times New Roman"/>
          <w:b/>
          <w:color w:val="007C91"/>
          <w:sz w:val="20"/>
        </w:rPr>
      </w:pPr>
    </w:p>
    <w:p w14:paraId="48307AA0" w14:textId="77777777" w:rsidR="00F155FF" w:rsidRPr="00F155FF" w:rsidRDefault="00F155FF">
      <w:pPr>
        <w:spacing w:after="0"/>
        <w:ind w:left="0" w:firstLine="0"/>
        <w:jc w:val="center"/>
        <w:rPr>
          <w:rFonts w:ascii="Times New Roman" w:hAnsi="Times New Roman" w:cs="Times New Roman"/>
          <w:b/>
          <w:color w:val="007C91"/>
          <w:sz w:val="20"/>
        </w:rPr>
      </w:pPr>
    </w:p>
    <w:p w14:paraId="2A900F59" w14:textId="77777777" w:rsidR="00F155FF" w:rsidRPr="00F155FF" w:rsidRDefault="00F155FF">
      <w:pPr>
        <w:spacing w:after="0"/>
        <w:ind w:left="0" w:firstLine="0"/>
        <w:jc w:val="center"/>
        <w:rPr>
          <w:rFonts w:ascii="Times New Roman" w:hAnsi="Times New Roman" w:cs="Times New Roman"/>
        </w:rPr>
      </w:pPr>
    </w:p>
    <w:p w14:paraId="64F093A9"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lastRenderedPageBreak/>
        <w:t>Résumé exécutif</w:t>
      </w:r>
    </w:p>
    <w:p w14:paraId="7C5DA9E2" w14:textId="77777777" w:rsidR="00F31C13" w:rsidRPr="00F155FF" w:rsidRDefault="00000000">
      <w:pPr>
        <w:spacing w:after="261"/>
        <w:ind w:left="-5" w:right="11"/>
        <w:rPr>
          <w:rFonts w:ascii="Times New Roman" w:hAnsi="Times New Roman" w:cs="Times New Roman"/>
          <w:sz w:val="24"/>
        </w:rPr>
      </w:pPr>
      <w:r w:rsidRPr="00F155FF">
        <w:rPr>
          <w:rFonts w:ascii="Times New Roman" w:hAnsi="Times New Roman" w:cs="Times New Roman"/>
          <w:sz w:val="24"/>
        </w:rPr>
        <w:t>CyberShield AI est une plateforme intelligente de cybersécurité destinée aux écoles, PME, administrations, collectivités et organisations manipulant des données sensibles. Son MVP constitue une première brique concrète : la détection et le blocage automatique des injections SQL dans les applications web. La solution combine un moteur heuristique rapide et un modèle d’intelligence artificielle afin de traiter efficacement les requêtes normales, malveillantes et ambiguës. Au-delà du blocage, CyberShield AI journalise les incidents, les supervise dans un tableau de bord et les explique en langage compréhensible. La vision est d’étendre progressivement ce socle vers une plateforme multi-vulnérabilités, accessible et déployable localement au Mali et, à terme, dans d’autres environnements africains.</w:t>
      </w:r>
    </w:p>
    <w:p w14:paraId="304B4E18"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Problème et besoin</w:t>
      </w:r>
    </w:p>
    <w:p w14:paraId="53FFC675" w14:textId="77777777" w:rsidR="00F31C13" w:rsidRPr="00F155FF" w:rsidRDefault="00000000">
      <w:pPr>
        <w:spacing w:after="261"/>
        <w:ind w:left="-5" w:right="11"/>
        <w:rPr>
          <w:rFonts w:ascii="Times New Roman" w:hAnsi="Times New Roman" w:cs="Times New Roman"/>
          <w:sz w:val="24"/>
        </w:rPr>
      </w:pPr>
      <w:r w:rsidRPr="00F155FF">
        <w:rPr>
          <w:rFonts w:ascii="Times New Roman" w:hAnsi="Times New Roman" w:cs="Times New Roman"/>
          <w:sz w:val="24"/>
        </w:rPr>
        <w:t>Les organisations dépendent de plus en plus des applications web tout en ne disposant pas toujours d’expertise spécialisée en cybersécurité. Les vulnérabilités applicatives peuvent exposer des données sensibles et perturber des services essentiels. Les outils existants peuvent être difficiles à exploiter, coûteux ou limités à la simple détection. Le besoin identifié est donc double : renforcer la protection technique et rendre les risques compréhensibles et actionnables par des utilisateurs qui ne sont pas nécessairement des experts.</w:t>
      </w:r>
    </w:p>
    <w:p w14:paraId="166D6B3F"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Proposition de valeur</w:t>
      </w:r>
    </w:p>
    <w:p w14:paraId="7EB80336" w14:textId="77777777" w:rsidR="00F31C13" w:rsidRPr="00F155FF" w:rsidRDefault="00000000">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Détection : identifier automatiquement les comportements et requêtes suspects.</w:t>
      </w:r>
    </w:p>
    <w:p w14:paraId="746018B6" w14:textId="77777777" w:rsidR="00F31C13" w:rsidRPr="00F155FF" w:rsidRDefault="00000000">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Protection : bloquer les attaques détectées avant leur impact sur l’application.</w:t>
      </w:r>
    </w:p>
    <w:p w14:paraId="25A1061D" w14:textId="77777777" w:rsidR="00F31C13" w:rsidRPr="00F155FF" w:rsidRDefault="00000000">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Explication : traduire les alertes techniques en informations compréhensibles.</w:t>
      </w:r>
    </w:p>
    <w:p w14:paraId="2D745416" w14:textId="77777777" w:rsidR="00F31C13" w:rsidRPr="00F155FF" w:rsidRDefault="00000000">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Priorisation : fournir un niveau de risque pour orienter les actions.</w:t>
      </w:r>
    </w:p>
    <w:p w14:paraId="62CAA9C1" w14:textId="77777777" w:rsidR="00F31C13" w:rsidRPr="00F155FF" w:rsidRDefault="00000000">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Accompagnement : guider progressivement l’administrateur vers la correction.</w:t>
      </w:r>
    </w:p>
    <w:p w14:paraId="13DF422F" w14:textId="77777777" w:rsidR="00F31C13" w:rsidRPr="00F155FF" w:rsidRDefault="00000000">
      <w:pPr>
        <w:numPr>
          <w:ilvl w:val="0"/>
          <w:numId w:val="1"/>
        </w:numPr>
        <w:spacing w:after="267"/>
        <w:ind w:right="11" w:hanging="158"/>
        <w:rPr>
          <w:rFonts w:ascii="Times New Roman" w:hAnsi="Times New Roman" w:cs="Times New Roman"/>
          <w:sz w:val="24"/>
        </w:rPr>
      </w:pPr>
      <w:r w:rsidRPr="00F155FF">
        <w:rPr>
          <w:rFonts w:ascii="Times New Roman" w:hAnsi="Times New Roman" w:cs="Times New Roman"/>
          <w:sz w:val="24"/>
        </w:rPr>
        <w:t>Accessibilité et souveraineté : viser une solution légère, adaptable et déployable localement.</w:t>
      </w:r>
    </w:p>
    <w:p w14:paraId="76FABC38"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Ce qui existe réellement dans le MVP</w:t>
      </w:r>
    </w:p>
    <w:p w14:paraId="0C13A490"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Protection spécialisée contre les injections SQL.</w:t>
      </w:r>
    </w:p>
    <w:p w14:paraId="689CD14C"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Moteur heuristique PHP basé sur des motifs OWASP et des indices statistiques.</w:t>
      </w:r>
    </w:p>
    <w:p w14:paraId="63163829" w14:textId="7931FBB3"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 xml:space="preserve">Zone grise : délégation des cas ambigus au </w:t>
      </w:r>
      <w:r w:rsidR="00913096" w:rsidRPr="00F155FF">
        <w:rPr>
          <w:rFonts w:ascii="Times New Roman" w:hAnsi="Times New Roman" w:cs="Times New Roman"/>
          <w:sz w:val="24"/>
        </w:rPr>
        <w:t>micro service</w:t>
      </w:r>
      <w:r w:rsidRPr="00F155FF">
        <w:rPr>
          <w:rFonts w:ascii="Times New Roman" w:hAnsi="Times New Roman" w:cs="Times New Roman"/>
          <w:sz w:val="24"/>
        </w:rPr>
        <w:t xml:space="preserve"> IA.</w:t>
      </w:r>
    </w:p>
    <w:p w14:paraId="667557C8"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Modèle MLP pour la classification des requêtes.</w:t>
      </w:r>
    </w:p>
    <w:p w14:paraId="3EB57A29"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Middleware d’interception et mécanisme de décision hybride.</w:t>
      </w:r>
    </w:p>
    <w:p w14:paraId="531C3CF4"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SecureDataGateway et utilisation de requêtes préparées comme couche défensive supplémentaire.</w:t>
      </w:r>
    </w:p>
    <w:p w14:paraId="7D5B301B"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Journalisation structurée des incidents et tableau de bord de supervision.</w:t>
      </w:r>
    </w:p>
    <w:p w14:paraId="2E518959"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Assistant IA destiné à expliquer la sémantique des attaques bloquées.</w:t>
      </w:r>
    </w:p>
    <w:p w14:paraId="090EF9D2" w14:textId="77777777" w:rsidR="00F31C13" w:rsidRPr="00F155FF" w:rsidRDefault="00000000" w:rsidP="00F155FF">
      <w:pPr>
        <w:numPr>
          <w:ilvl w:val="0"/>
          <w:numId w:val="1"/>
        </w:numPr>
        <w:ind w:right="11" w:hanging="158"/>
        <w:rPr>
          <w:rFonts w:ascii="Times New Roman" w:hAnsi="Times New Roman" w:cs="Times New Roman"/>
          <w:sz w:val="24"/>
        </w:rPr>
      </w:pPr>
      <w:r w:rsidRPr="00F155FF">
        <w:rPr>
          <w:rFonts w:ascii="Times New Roman" w:hAnsi="Times New Roman" w:cs="Times New Roman"/>
          <w:sz w:val="24"/>
        </w:rPr>
        <w:t>Mécanisme fail-safe et contrôle de disponibilité du service IA.</w:t>
      </w:r>
    </w:p>
    <w:p w14:paraId="1E92A2A4"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Architecture technique</w:t>
      </w:r>
    </w:p>
    <w:p w14:paraId="7A762DA3" w14:textId="77777777" w:rsidR="00F31C13" w:rsidRPr="00F155FF" w:rsidRDefault="00000000">
      <w:pPr>
        <w:spacing w:after="0"/>
        <w:ind w:left="-5" w:right="11"/>
        <w:rPr>
          <w:rFonts w:ascii="Times New Roman" w:hAnsi="Times New Roman" w:cs="Times New Roman"/>
          <w:sz w:val="24"/>
        </w:rPr>
      </w:pPr>
      <w:r w:rsidRPr="00F155FF">
        <w:rPr>
          <w:rFonts w:ascii="Times New Roman" w:hAnsi="Times New Roman" w:cs="Times New Roman"/>
          <w:sz w:val="24"/>
        </w:rPr>
        <w:t xml:space="preserve">Le pipeline du MVP suit une logique asymétrique : la requête est interceptée par la couche applicative, normalisée puis soumise au moteur heuristique. Les requêtes clairement malveillantes peuvent être bloquées immédiatement ; les cas ambigus sont transmis au service Python d’inférence. </w:t>
      </w:r>
      <w:r w:rsidRPr="00F155FF">
        <w:rPr>
          <w:rFonts w:ascii="Times New Roman" w:hAnsi="Times New Roman" w:cs="Times New Roman"/>
          <w:sz w:val="24"/>
        </w:rPr>
        <w:lastRenderedPageBreak/>
        <w:t>La décision finale combine les informations disponibles, puis l’événement est journalisé et présenté dans le système de supervision.</w:t>
      </w:r>
    </w:p>
    <w:tbl>
      <w:tblPr>
        <w:tblStyle w:val="TableGrid"/>
        <w:tblW w:w="9638" w:type="dxa"/>
        <w:tblInd w:w="50" w:type="dxa"/>
        <w:tblCellMar>
          <w:top w:w="0" w:type="dxa"/>
          <w:left w:w="120" w:type="dxa"/>
          <w:bottom w:w="0" w:type="dxa"/>
          <w:right w:w="115" w:type="dxa"/>
        </w:tblCellMar>
        <w:tblLook w:val="04A0" w:firstRow="1" w:lastRow="0" w:firstColumn="1" w:lastColumn="0" w:noHBand="0" w:noVBand="1"/>
      </w:tblPr>
      <w:tblGrid>
        <w:gridCol w:w="2409"/>
        <w:gridCol w:w="2409"/>
        <w:gridCol w:w="2410"/>
        <w:gridCol w:w="2410"/>
      </w:tblGrid>
      <w:tr w:rsidR="00F31C13" w:rsidRPr="00F155FF" w14:paraId="0C376B28" w14:textId="77777777">
        <w:trPr>
          <w:trHeight w:val="440"/>
        </w:trPr>
        <w:tc>
          <w:tcPr>
            <w:tcW w:w="2409" w:type="dxa"/>
            <w:tcBorders>
              <w:top w:val="single" w:sz="3" w:space="0" w:color="BCCCDC"/>
              <w:left w:val="single" w:sz="3" w:space="0" w:color="BCCCDC"/>
              <w:bottom w:val="single" w:sz="3" w:space="0" w:color="BCCCDC"/>
              <w:right w:val="single" w:sz="3" w:space="0" w:color="BCCCDC"/>
            </w:tcBorders>
            <w:shd w:val="clear" w:color="auto" w:fill="12344D"/>
            <w:vAlign w:val="center"/>
          </w:tcPr>
          <w:p w14:paraId="22C1D208"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CLIENT</w:t>
            </w:r>
          </w:p>
        </w:tc>
        <w:tc>
          <w:tcPr>
            <w:tcW w:w="2409" w:type="dxa"/>
            <w:tcBorders>
              <w:top w:val="single" w:sz="3" w:space="0" w:color="BCCCDC"/>
              <w:left w:val="single" w:sz="3" w:space="0" w:color="BCCCDC"/>
              <w:bottom w:val="single" w:sz="3" w:space="0" w:color="BCCCDC"/>
              <w:right w:val="single" w:sz="3" w:space="0" w:color="BCCCDC"/>
            </w:tcBorders>
            <w:shd w:val="clear" w:color="auto" w:fill="12344D"/>
            <w:vAlign w:val="center"/>
          </w:tcPr>
          <w:p w14:paraId="00A354A7"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APPLICATION WEB</w:t>
            </w:r>
          </w:p>
        </w:tc>
        <w:tc>
          <w:tcPr>
            <w:tcW w:w="2409" w:type="dxa"/>
            <w:tcBorders>
              <w:top w:val="single" w:sz="3" w:space="0" w:color="BCCCDC"/>
              <w:left w:val="single" w:sz="3" w:space="0" w:color="BCCCDC"/>
              <w:bottom w:val="single" w:sz="3" w:space="0" w:color="BCCCDC"/>
              <w:right w:val="single" w:sz="3" w:space="0" w:color="BCCCDC"/>
            </w:tcBorders>
            <w:shd w:val="clear" w:color="auto" w:fill="12344D"/>
            <w:vAlign w:val="center"/>
          </w:tcPr>
          <w:p w14:paraId="14F332AF"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CYBERSHIELD AI</w:t>
            </w:r>
          </w:p>
        </w:tc>
        <w:tc>
          <w:tcPr>
            <w:tcW w:w="2409" w:type="dxa"/>
            <w:tcBorders>
              <w:top w:val="single" w:sz="3" w:space="0" w:color="BCCCDC"/>
              <w:left w:val="single" w:sz="3" w:space="0" w:color="BCCCDC"/>
              <w:bottom w:val="single" w:sz="3" w:space="0" w:color="BCCCDC"/>
              <w:right w:val="single" w:sz="3" w:space="0" w:color="BCCCDC"/>
            </w:tcBorders>
            <w:shd w:val="clear" w:color="auto" w:fill="12344D"/>
            <w:vAlign w:val="center"/>
          </w:tcPr>
          <w:p w14:paraId="50EC16E7"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DONNÉES</w:t>
            </w:r>
          </w:p>
        </w:tc>
      </w:tr>
      <w:tr w:rsidR="00F31C13" w:rsidRPr="00F155FF" w14:paraId="0689D0E3" w14:textId="77777777">
        <w:trPr>
          <w:trHeight w:val="640"/>
        </w:trPr>
        <w:tc>
          <w:tcPr>
            <w:tcW w:w="2409" w:type="dxa"/>
            <w:tcBorders>
              <w:top w:val="single" w:sz="3" w:space="0" w:color="BCCCDC"/>
              <w:left w:val="single" w:sz="3" w:space="0" w:color="BCCCDC"/>
              <w:bottom w:val="single" w:sz="3" w:space="0" w:color="BCCCDC"/>
              <w:right w:val="single" w:sz="3" w:space="0" w:color="BCCCDC"/>
            </w:tcBorders>
            <w:vAlign w:val="center"/>
          </w:tcPr>
          <w:p w14:paraId="4516A769"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Requête HTTP</w:t>
            </w:r>
          </w:p>
        </w:tc>
        <w:tc>
          <w:tcPr>
            <w:tcW w:w="2409" w:type="dxa"/>
            <w:tcBorders>
              <w:top w:val="single" w:sz="3" w:space="0" w:color="BCCCDC"/>
              <w:left w:val="single" w:sz="3" w:space="0" w:color="BCCCDC"/>
              <w:bottom w:val="single" w:sz="3" w:space="0" w:color="BCCCDC"/>
              <w:right w:val="single" w:sz="3" w:space="0" w:color="BCCCDC"/>
            </w:tcBorders>
            <w:vAlign w:val="center"/>
          </w:tcPr>
          <w:p w14:paraId="112144BC"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Middleware PHP</w:t>
            </w:r>
          </w:p>
        </w:tc>
        <w:tc>
          <w:tcPr>
            <w:tcW w:w="2409" w:type="dxa"/>
            <w:tcBorders>
              <w:top w:val="single" w:sz="3" w:space="0" w:color="BCCCDC"/>
              <w:left w:val="single" w:sz="3" w:space="0" w:color="BCCCDC"/>
              <w:bottom w:val="single" w:sz="3" w:space="0" w:color="BCCCDC"/>
              <w:right w:val="single" w:sz="3" w:space="0" w:color="BCCCDC"/>
            </w:tcBorders>
            <w:vAlign w:val="center"/>
          </w:tcPr>
          <w:p w14:paraId="44568EC1" w14:textId="77777777" w:rsidR="00F31C13" w:rsidRPr="00F155FF" w:rsidRDefault="00000000">
            <w:pPr>
              <w:spacing w:after="8"/>
              <w:ind w:left="0" w:firstLine="0"/>
              <w:rPr>
                <w:rFonts w:ascii="Times New Roman" w:hAnsi="Times New Roman" w:cs="Times New Roman"/>
                <w:sz w:val="24"/>
              </w:rPr>
            </w:pPr>
            <w:r w:rsidRPr="00F155FF">
              <w:rPr>
                <w:rFonts w:ascii="Times New Roman" w:hAnsi="Times New Roman" w:cs="Times New Roman"/>
                <w:color w:val="627D98"/>
                <w:sz w:val="24"/>
              </w:rPr>
              <w:t>Heuristique → Zone grise →</w:t>
            </w:r>
          </w:p>
          <w:p w14:paraId="47AF4D44"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MLP</w:t>
            </w:r>
          </w:p>
        </w:tc>
        <w:tc>
          <w:tcPr>
            <w:tcW w:w="2409" w:type="dxa"/>
            <w:tcBorders>
              <w:top w:val="single" w:sz="3" w:space="0" w:color="BCCCDC"/>
              <w:left w:val="single" w:sz="3" w:space="0" w:color="BCCCDC"/>
              <w:bottom w:val="single" w:sz="3" w:space="0" w:color="BCCCDC"/>
              <w:right w:val="single" w:sz="3" w:space="0" w:color="BCCCDC"/>
            </w:tcBorders>
            <w:vAlign w:val="center"/>
          </w:tcPr>
          <w:p w14:paraId="2B340AA9"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MySQL</w:t>
            </w:r>
          </w:p>
        </w:tc>
      </w:tr>
      <w:tr w:rsidR="00F31C13" w:rsidRPr="00F155FF" w14:paraId="5CFBE941" w14:textId="77777777">
        <w:trPr>
          <w:trHeight w:val="440"/>
        </w:trPr>
        <w:tc>
          <w:tcPr>
            <w:tcW w:w="2409" w:type="dxa"/>
            <w:tcBorders>
              <w:top w:val="single" w:sz="3" w:space="0" w:color="BCCCDC"/>
              <w:left w:val="single" w:sz="3" w:space="0" w:color="BCCCDC"/>
              <w:bottom w:val="single" w:sz="3" w:space="0" w:color="BCCCDC"/>
              <w:right w:val="single" w:sz="3" w:space="0" w:color="BCCCDC"/>
            </w:tcBorders>
            <w:vAlign w:val="center"/>
          </w:tcPr>
          <w:p w14:paraId="701F3F9F"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Utilisateur</w:t>
            </w:r>
          </w:p>
        </w:tc>
        <w:tc>
          <w:tcPr>
            <w:tcW w:w="2409" w:type="dxa"/>
            <w:tcBorders>
              <w:top w:val="single" w:sz="3" w:space="0" w:color="BCCCDC"/>
              <w:left w:val="single" w:sz="3" w:space="0" w:color="BCCCDC"/>
              <w:bottom w:val="single" w:sz="3" w:space="0" w:color="BCCCDC"/>
              <w:right w:val="single" w:sz="3" w:space="0" w:color="BCCCDC"/>
            </w:tcBorders>
            <w:vAlign w:val="center"/>
          </w:tcPr>
          <w:p w14:paraId="79D8A893"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Interception</w:t>
            </w:r>
          </w:p>
        </w:tc>
        <w:tc>
          <w:tcPr>
            <w:tcW w:w="2409" w:type="dxa"/>
            <w:tcBorders>
              <w:top w:val="single" w:sz="3" w:space="0" w:color="BCCCDC"/>
              <w:left w:val="single" w:sz="3" w:space="0" w:color="BCCCDC"/>
              <w:bottom w:val="single" w:sz="3" w:space="0" w:color="BCCCDC"/>
              <w:right w:val="single" w:sz="3" w:space="0" w:color="BCCCDC"/>
            </w:tcBorders>
            <w:vAlign w:val="center"/>
          </w:tcPr>
          <w:p w14:paraId="07C80C50"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Décision : autoriser / bloquer</w:t>
            </w:r>
          </w:p>
        </w:tc>
        <w:tc>
          <w:tcPr>
            <w:tcW w:w="2409" w:type="dxa"/>
            <w:tcBorders>
              <w:top w:val="single" w:sz="3" w:space="0" w:color="BCCCDC"/>
              <w:left w:val="single" w:sz="3" w:space="0" w:color="BCCCDC"/>
              <w:bottom w:val="single" w:sz="3" w:space="0" w:color="BCCCDC"/>
              <w:right w:val="single" w:sz="3" w:space="0" w:color="BCCCDC"/>
            </w:tcBorders>
            <w:vAlign w:val="center"/>
          </w:tcPr>
          <w:p w14:paraId="208D04BF"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Incidents / logs</w:t>
            </w:r>
          </w:p>
        </w:tc>
      </w:tr>
    </w:tbl>
    <w:p w14:paraId="47304299"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Innovation technique</w:t>
      </w:r>
    </w:p>
    <w:p w14:paraId="2177B536" w14:textId="77777777" w:rsidR="00F31C13" w:rsidRPr="00F155FF" w:rsidRDefault="00000000">
      <w:pPr>
        <w:spacing w:after="261"/>
        <w:ind w:left="-5" w:right="11"/>
        <w:rPr>
          <w:rFonts w:ascii="Times New Roman" w:hAnsi="Times New Roman" w:cs="Times New Roman"/>
          <w:sz w:val="24"/>
        </w:rPr>
      </w:pPr>
      <w:r w:rsidRPr="00F155FF">
        <w:rPr>
          <w:rFonts w:ascii="Times New Roman" w:hAnsi="Times New Roman" w:cs="Times New Roman"/>
          <w:sz w:val="24"/>
        </w:rPr>
        <w:t>L’innovation centrale est l’architecture hybride asymétrique. Le système ne sollicite pas systématiquement l’IA : le moteur heuristique traite rapidement les cas évidents et ne délègue à l’IA que la zone d’incertitude. Cette organisation vise à obtenir un compromis entre précision, temps de réponse et consommation de ressources. L’innovation produit complète cette innovation technique par l’explication, la priorisation et l’accompagnement de l’utilisateur.</w:t>
      </w:r>
    </w:p>
    <w:p w14:paraId="086F92FD"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Résultats expérimentaux du MVP</w:t>
      </w:r>
    </w:p>
    <w:p w14:paraId="3B66BA7E" w14:textId="77777777" w:rsidR="00F31C13" w:rsidRDefault="00000000">
      <w:pPr>
        <w:spacing w:after="0"/>
        <w:ind w:left="-5" w:right="11"/>
        <w:rPr>
          <w:rFonts w:ascii="Times New Roman" w:hAnsi="Times New Roman" w:cs="Times New Roman"/>
          <w:sz w:val="24"/>
        </w:rPr>
      </w:pPr>
      <w:r w:rsidRPr="00F155FF">
        <w:rPr>
          <w:rFonts w:ascii="Times New Roman" w:hAnsi="Times New Roman" w:cs="Times New Roman"/>
          <w:sz w:val="24"/>
        </w:rPr>
        <w:t>La validation documentée porte sur un jeu de 10 000 requêtes. Les résultats rapportés sont un F1-score de 0,988, un taux de faux positifs de 0,5 %, un taux de faux négatifs de 0,1 %, avec 98 % des requêtes traitées en moins de 100 ms. Les mesures détaillées rapportent également environ 13 ms pour le traitement heuristique et 45 ms lorsque la requête passe par l’IA, avec environ 28 % du trafic orienté vers l’analyse IA. Ces chiffres décrivent le prototype évalué et ne constituent pas une promesse de performance universelle.</w:t>
      </w:r>
    </w:p>
    <w:p w14:paraId="272A9E2E" w14:textId="77777777" w:rsidR="00F155FF" w:rsidRPr="00F155FF" w:rsidRDefault="00F155FF">
      <w:pPr>
        <w:spacing w:after="0"/>
        <w:ind w:left="-5" w:right="11"/>
        <w:rPr>
          <w:rFonts w:ascii="Times New Roman" w:hAnsi="Times New Roman" w:cs="Times New Roman"/>
          <w:sz w:val="24"/>
        </w:rPr>
      </w:pPr>
    </w:p>
    <w:tbl>
      <w:tblPr>
        <w:tblStyle w:val="TableGrid"/>
        <w:tblW w:w="9638" w:type="dxa"/>
        <w:tblInd w:w="50" w:type="dxa"/>
        <w:tblCellMar>
          <w:top w:w="0" w:type="dxa"/>
          <w:left w:w="120" w:type="dxa"/>
          <w:bottom w:w="0" w:type="dxa"/>
          <w:right w:w="115" w:type="dxa"/>
        </w:tblCellMar>
        <w:tblLook w:val="04A0" w:firstRow="1" w:lastRow="0" w:firstColumn="1" w:lastColumn="0" w:noHBand="0" w:noVBand="1"/>
      </w:tblPr>
      <w:tblGrid>
        <w:gridCol w:w="1927"/>
        <w:gridCol w:w="1927"/>
        <w:gridCol w:w="1928"/>
        <w:gridCol w:w="1928"/>
        <w:gridCol w:w="1928"/>
      </w:tblGrid>
      <w:tr w:rsidR="00F31C13" w:rsidRPr="00F155FF" w14:paraId="433AA257" w14:textId="77777777">
        <w:trPr>
          <w:trHeight w:val="400"/>
        </w:trPr>
        <w:tc>
          <w:tcPr>
            <w:tcW w:w="1928" w:type="dxa"/>
            <w:tcBorders>
              <w:top w:val="single" w:sz="5" w:space="0" w:color="BCCCDC"/>
              <w:left w:val="single" w:sz="5" w:space="0" w:color="BCCCDC"/>
              <w:bottom w:val="single" w:sz="2" w:space="0" w:color="D9E2EC"/>
              <w:right w:val="single" w:sz="2" w:space="0" w:color="D9E2EC"/>
            </w:tcBorders>
            <w:shd w:val="clear" w:color="auto" w:fill="EAF2F8"/>
            <w:vAlign w:val="center"/>
          </w:tcPr>
          <w:p w14:paraId="6F0D51A8"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F1-score</w:t>
            </w:r>
          </w:p>
        </w:tc>
        <w:tc>
          <w:tcPr>
            <w:tcW w:w="1928" w:type="dxa"/>
            <w:tcBorders>
              <w:top w:val="single" w:sz="5" w:space="0" w:color="BCCCDC"/>
              <w:left w:val="single" w:sz="2" w:space="0" w:color="D9E2EC"/>
              <w:bottom w:val="single" w:sz="2" w:space="0" w:color="D9E2EC"/>
              <w:right w:val="single" w:sz="2" w:space="0" w:color="D9E2EC"/>
            </w:tcBorders>
            <w:shd w:val="clear" w:color="auto" w:fill="EAF2F8"/>
            <w:vAlign w:val="center"/>
          </w:tcPr>
          <w:p w14:paraId="6D028AB9"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Faux positifs</w:t>
            </w:r>
          </w:p>
        </w:tc>
        <w:tc>
          <w:tcPr>
            <w:tcW w:w="1928" w:type="dxa"/>
            <w:tcBorders>
              <w:top w:val="single" w:sz="5" w:space="0" w:color="BCCCDC"/>
              <w:left w:val="single" w:sz="2" w:space="0" w:color="D9E2EC"/>
              <w:bottom w:val="single" w:sz="2" w:space="0" w:color="D9E2EC"/>
              <w:right w:val="single" w:sz="2" w:space="0" w:color="D9E2EC"/>
            </w:tcBorders>
            <w:shd w:val="clear" w:color="auto" w:fill="EAF2F8"/>
            <w:vAlign w:val="center"/>
          </w:tcPr>
          <w:p w14:paraId="1590BC3E"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Faux négatifs</w:t>
            </w:r>
          </w:p>
        </w:tc>
        <w:tc>
          <w:tcPr>
            <w:tcW w:w="1928" w:type="dxa"/>
            <w:tcBorders>
              <w:top w:val="single" w:sz="5" w:space="0" w:color="BCCCDC"/>
              <w:left w:val="single" w:sz="2" w:space="0" w:color="D9E2EC"/>
              <w:bottom w:val="single" w:sz="2" w:space="0" w:color="D9E2EC"/>
              <w:right w:val="single" w:sz="2" w:space="0" w:color="D9E2EC"/>
            </w:tcBorders>
            <w:shd w:val="clear" w:color="auto" w:fill="EAF2F8"/>
            <w:vAlign w:val="center"/>
          </w:tcPr>
          <w:p w14:paraId="6C9252B0"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Trafic vers IA</w:t>
            </w:r>
          </w:p>
        </w:tc>
        <w:tc>
          <w:tcPr>
            <w:tcW w:w="1928" w:type="dxa"/>
            <w:tcBorders>
              <w:top w:val="single" w:sz="5" w:space="0" w:color="BCCCDC"/>
              <w:left w:val="single" w:sz="2" w:space="0" w:color="D9E2EC"/>
              <w:bottom w:val="single" w:sz="2" w:space="0" w:color="D9E2EC"/>
              <w:right w:val="single" w:sz="5" w:space="0" w:color="BCCCDC"/>
            </w:tcBorders>
            <w:shd w:val="clear" w:color="auto" w:fill="EAF2F8"/>
            <w:vAlign w:val="center"/>
          </w:tcPr>
          <w:p w14:paraId="447B24AC" w14:textId="77777777" w:rsidR="00F31C13" w:rsidRPr="00F155FF" w:rsidRDefault="00000000">
            <w:pPr>
              <w:spacing w:after="0"/>
              <w:ind w:left="0" w:firstLine="0"/>
              <w:rPr>
                <w:rFonts w:ascii="Times New Roman" w:hAnsi="Times New Roman" w:cs="Times New Roman"/>
                <w:sz w:val="24"/>
              </w:rPr>
            </w:pPr>
            <w:r w:rsidRPr="00F155FF">
              <w:rPr>
                <w:rFonts w:ascii="Times New Roman" w:hAnsi="Times New Roman" w:cs="Times New Roman"/>
                <w:color w:val="627D98"/>
                <w:sz w:val="24"/>
              </w:rPr>
              <w:t>Latence IA</w:t>
            </w:r>
          </w:p>
        </w:tc>
      </w:tr>
      <w:tr w:rsidR="00F31C13" w:rsidRPr="00F155FF" w14:paraId="5EBFCF27" w14:textId="77777777">
        <w:trPr>
          <w:trHeight w:val="480"/>
        </w:trPr>
        <w:tc>
          <w:tcPr>
            <w:tcW w:w="1928" w:type="dxa"/>
            <w:tcBorders>
              <w:top w:val="single" w:sz="2" w:space="0" w:color="D9E2EC"/>
              <w:left w:val="single" w:sz="5" w:space="0" w:color="BCCCDC"/>
              <w:bottom w:val="single" w:sz="5" w:space="0" w:color="BCCCDC"/>
              <w:right w:val="single" w:sz="2" w:space="0" w:color="D9E2EC"/>
            </w:tcBorders>
            <w:vAlign w:val="center"/>
          </w:tcPr>
          <w:p w14:paraId="3B72C4DD" w14:textId="77777777" w:rsidR="00F31C13" w:rsidRPr="00F155FF" w:rsidRDefault="00000000">
            <w:pPr>
              <w:spacing w:after="0"/>
              <w:ind w:left="0" w:right="5" w:firstLine="0"/>
              <w:jc w:val="center"/>
              <w:rPr>
                <w:rFonts w:ascii="Times New Roman" w:hAnsi="Times New Roman" w:cs="Times New Roman"/>
                <w:sz w:val="24"/>
              </w:rPr>
            </w:pPr>
            <w:r w:rsidRPr="00F155FF">
              <w:rPr>
                <w:rFonts w:ascii="Times New Roman" w:hAnsi="Times New Roman" w:cs="Times New Roman"/>
                <w:b/>
                <w:color w:val="007C91"/>
                <w:sz w:val="24"/>
              </w:rPr>
              <w:t>0,988</w:t>
            </w:r>
          </w:p>
        </w:tc>
        <w:tc>
          <w:tcPr>
            <w:tcW w:w="1928" w:type="dxa"/>
            <w:tcBorders>
              <w:top w:val="single" w:sz="2" w:space="0" w:color="D9E2EC"/>
              <w:left w:val="single" w:sz="2" w:space="0" w:color="D9E2EC"/>
              <w:bottom w:val="single" w:sz="5" w:space="0" w:color="BCCCDC"/>
              <w:right w:val="single" w:sz="2" w:space="0" w:color="D9E2EC"/>
            </w:tcBorders>
            <w:vAlign w:val="center"/>
          </w:tcPr>
          <w:p w14:paraId="3CF72348" w14:textId="77777777" w:rsidR="00F31C13" w:rsidRPr="00F155FF" w:rsidRDefault="00000000">
            <w:pPr>
              <w:spacing w:after="0"/>
              <w:ind w:left="0" w:right="5" w:firstLine="0"/>
              <w:jc w:val="center"/>
              <w:rPr>
                <w:rFonts w:ascii="Times New Roman" w:hAnsi="Times New Roman" w:cs="Times New Roman"/>
                <w:sz w:val="24"/>
              </w:rPr>
            </w:pPr>
            <w:r w:rsidRPr="00F155FF">
              <w:rPr>
                <w:rFonts w:ascii="Times New Roman" w:hAnsi="Times New Roman" w:cs="Times New Roman"/>
                <w:b/>
                <w:color w:val="007C91"/>
                <w:sz w:val="24"/>
              </w:rPr>
              <w:t>0,5 %</w:t>
            </w:r>
          </w:p>
        </w:tc>
        <w:tc>
          <w:tcPr>
            <w:tcW w:w="1928" w:type="dxa"/>
            <w:tcBorders>
              <w:top w:val="single" w:sz="2" w:space="0" w:color="D9E2EC"/>
              <w:left w:val="single" w:sz="2" w:space="0" w:color="D9E2EC"/>
              <w:bottom w:val="single" w:sz="5" w:space="0" w:color="BCCCDC"/>
              <w:right w:val="single" w:sz="2" w:space="0" w:color="D9E2EC"/>
            </w:tcBorders>
            <w:vAlign w:val="center"/>
          </w:tcPr>
          <w:p w14:paraId="7011688E" w14:textId="77777777" w:rsidR="00F31C13" w:rsidRPr="00F155FF" w:rsidRDefault="00000000">
            <w:pPr>
              <w:spacing w:after="0"/>
              <w:ind w:left="0" w:right="5" w:firstLine="0"/>
              <w:jc w:val="center"/>
              <w:rPr>
                <w:rFonts w:ascii="Times New Roman" w:hAnsi="Times New Roman" w:cs="Times New Roman"/>
                <w:sz w:val="24"/>
              </w:rPr>
            </w:pPr>
            <w:r w:rsidRPr="00F155FF">
              <w:rPr>
                <w:rFonts w:ascii="Times New Roman" w:hAnsi="Times New Roman" w:cs="Times New Roman"/>
                <w:b/>
                <w:color w:val="007C91"/>
                <w:sz w:val="24"/>
              </w:rPr>
              <w:t>0,1 %</w:t>
            </w:r>
          </w:p>
        </w:tc>
        <w:tc>
          <w:tcPr>
            <w:tcW w:w="1928" w:type="dxa"/>
            <w:tcBorders>
              <w:top w:val="single" w:sz="2" w:space="0" w:color="D9E2EC"/>
              <w:left w:val="single" w:sz="2" w:space="0" w:color="D9E2EC"/>
              <w:bottom w:val="single" w:sz="5" w:space="0" w:color="BCCCDC"/>
              <w:right w:val="single" w:sz="2" w:space="0" w:color="D9E2EC"/>
            </w:tcBorders>
            <w:vAlign w:val="center"/>
          </w:tcPr>
          <w:p w14:paraId="66E502E6" w14:textId="77777777" w:rsidR="00F31C13" w:rsidRPr="00F155FF" w:rsidRDefault="00000000">
            <w:pPr>
              <w:spacing w:after="0"/>
              <w:ind w:left="0" w:right="5" w:firstLine="0"/>
              <w:jc w:val="center"/>
              <w:rPr>
                <w:rFonts w:ascii="Times New Roman" w:hAnsi="Times New Roman" w:cs="Times New Roman"/>
                <w:sz w:val="24"/>
              </w:rPr>
            </w:pPr>
            <w:r w:rsidRPr="00F155FF">
              <w:rPr>
                <w:rFonts w:ascii="Times New Roman" w:hAnsi="Times New Roman" w:cs="Times New Roman"/>
                <w:b/>
                <w:color w:val="007C91"/>
                <w:sz w:val="24"/>
              </w:rPr>
              <w:t>≈ 28 %</w:t>
            </w:r>
          </w:p>
        </w:tc>
        <w:tc>
          <w:tcPr>
            <w:tcW w:w="1928" w:type="dxa"/>
            <w:tcBorders>
              <w:top w:val="single" w:sz="2" w:space="0" w:color="D9E2EC"/>
              <w:left w:val="single" w:sz="2" w:space="0" w:color="D9E2EC"/>
              <w:bottom w:val="single" w:sz="5" w:space="0" w:color="BCCCDC"/>
              <w:right w:val="single" w:sz="5" w:space="0" w:color="BCCCDC"/>
            </w:tcBorders>
            <w:vAlign w:val="center"/>
          </w:tcPr>
          <w:p w14:paraId="7AAD205F" w14:textId="77777777" w:rsidR="00F31C13" w:rsidRPr="00F155FF" w:rsidRDefault="00000000">
            <w:pPr>
              <w:spacing w:after="0"/>
              <w:ind w:left="0" w:right="5" w:firstLine="0"/>
              <w:jc w:val="center"/>
              <w:rPr>
                <w:rFonts w:ascii="Times New Roman" w:hAnsi="Times New Roman" w:cs="Times New Roman"/>
                <w:sz w:val="24"/>
              </w:rPr>
            </w:pPr>
            <w:r w:rsidRPr="00F155FF">
              <w:rPr>
                <w:rFonts w:ascii="Times New Roman" w:hAnsi="Times New Roman" w:cs="Times New Roman"/>
                <w:b/>
                <w:color w:val="007C91"/>
                <w:sz w:val="24"/>
              </w:rPr>
              <w:t>≈ 45 ms</w:t>
            </w:r>
          </w:p>
        </w:tc>
      </w:tr>
    </w:tbl>
    <w:p w14:paraId="7F7AE1B5"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Public cible et cas d’usage</w:t>
      </w:r>
    </w:p>
    <w:p w14:paraId="2831D517" w14:textId="77777777" w:rsidR="00F31C13" w:rsidRPr="00F155FF" w:rsidRDefault="00000000">
      <w:pPr>
        <w:numPr>
          <w:ilvl w:val="0"/>
          <w:numId w:val="3"/>
        </w:numPr>
        <w:ind w:right="11" w:hanging="158"/>
        <w:rPr>
          <w:rFonts w:ascii="Times New Roman" w:hAnsi="Times New Roman" w:cs="Times New Roman"/>
          <w:sz w:val="24"/>
        </w:rPr>
      </w:pPr>
      <w:r w:rsidRPr="00F155FF">
        <w:rPr>
          <w:rFonts w:ascii="Times New Roman" w:hAnsi="Times New Roman" w:cs="Times New Roman"/>
          <w:sz w:val="24"/>
        </w:rPr>
        <w:t>Établissements scolaires et universitaires : protection des plateformes et applications de gestion.</w:t>
      </w:r>
    </w:p>
    <w:p w14:paraId="1AC8A268" w14:textId="77777777" w:rsidR="00F31C13" w:rsidRPr="00F155FF" w:rsidRDefault="00000000">
      <w:pPr>
        <w:numPr>
          <w:ilvl w:val="0"/>
          <w:numId w:val="3"/>
        </w:numPr>
        <w:ind w:right="11" w:hanging="158"/>
        <w:rPr>
          <w:rFonts w:ascii="Times New Roman" w:hAnsi="Times New Roman" w:cs="Times New Roman"/>
          <w:sz w:val="24"/>
        </w:rPr>
      </w:pPr>
      <w:r w:rsidRPr="00F155FF">
        <w:rPr>
          <w:rFonts w:ascii="Times New Roman" w:hAnsi="Times New Roman" w:cs="Times New Roman"/>
          <w:sz w:val="24"/>
        </w:rPr>
        <w:t>PME et startups : sécurité accessible sans équipe SOC dédiée.</w:t>
      </w:r>
    </w:p>
    <w:p w14:paraId="1E0B3B76" w14:textId="77777777" w:rsidR="00F31C13" w:rsidRPr="00F155FF" w:rsidRDefault="00000000">
      <w:pPr>
        <w:numPr>
          <w:ilvl w:val="0"/>
          <w:numId w:val="3"/>
        </w:numPr>
        <w:ind w:right="11" w:hanging="158"/>
        <w:rPr>
          <w:rFonts w:ascii="Times New Roman" w:hAnsi="Times New Roman" w:cs="Times New Roman"/>
          <w:sz w:val="24"/>
        </w:rPr>
      </w:pPr>
      <w:r w:rsidRPr="00F155FF">
        <w:rPr>
          <w:rFonts w:ascii="Times New Roman" w:hAnsi="Times New Roman" w:cs="Times New Roman"/>
          <w:sz w:val="24"/>
        </w:rPr>
        <w:t>Administrations et collectivités : protection progressive des services numériques.</w:t>
      </w:r>
    </w:p>
    <w:p w14:paraId="2FF4E2E1" w14:textId="77777777" w:rsidR="00F31C13" w:rsidRPr="00F155FF" w:rsidRDefault="00000000">
      <w:pPr>
        <w:numPr>
          <w:ilvl w:val="0"/>
          <w:numId w:val="3"/>
        </w:numPr>
        <w:ind w:right="11" w:hanging="158"/>
        <w:rPr>
          <w:rFonts w:ascii="Times New Roman" w:hAnsi="Times New Roman" w:cs="Times New Roman"/>
          <w:sz w:val="24"/>
        </w:rPr>
      </w:pPr>
      <w:r w:rsidRPr="00F155FF">
        <w:rPr>
          <w:rFonts w:ascii="Times New Roman" w:hAnsi="Times New Roman" w:cs="Times New Roman"/>
          <w:sz w:val="24"/>
        </w:rPr>
        <w:t>Institutions financières et structures de microfinance : réduction du risque applicatif.</w:t>
      </w:r>
    </w:p>
    <w:p w14:paraId="60B09060" w14:textId="77777777" w:rsidR="00F31C13" w:rsidRPr="00F155FF" w:rsidRDefault="00000000">
      <w:pPr>
        <w:numPr>
          <w:ilvl w:val="0"/>
          <w:numId w:val="3"/>
        </w:numPr>
        <w:ind w:right="11" w:hanging="158"/>
        <w:rPr>
          <w:rFonts w:ascii="Times New Roman" w:hAnsi="Times New Roman" w:cs="Times New Roman"/>
          <w:sz w:val="24"/>
        </w:rPr>
      </w:pPr>
      <w:r w:rsidRPr="00F155FF">
        <w:rPr>
          <w:rFonts w:ascii="Times New Roman" w:hAnsi="Times New Roman" w:cs="Times New Roman"/>
          <w:sz w:val="24"/>
        </w:rPr>
        <w:t>ONG et organisations manipulant des données sensibles.</w:t>
      </w:r>
    </w:p>
    <w:p w14:paraId="709FAD61" w14:textId="77777777" w:rsidR="00F31C13" w:rsidRPr="00F155FF" w:rsidRDefault="00000000">
      <w:pPr>
        <w:numPr>
          <w:ilvl w:val="0"/>
          <w:numId w:val="3"/>
        </w:numPr>
        <w:spacing w:after="267"/>
        <w:ind w:right="11" w:hanging="158"/>
        <w:rPr>
          <w:rFonts w:ascii="Times New Roman" w:hAnsi="Times New Roman" w:cs="Times New Roman"/>
          <w:sz w:val="24"/>
        </w:rPr>
      </w:pPr>
      <w:r w:rsidRPr="00F155FF">
        <w:rPr>
          <w:rFonts w:ascii="Times New Roman" w:hAnsi="Times New Roman" w:cs="Times New Roman"/>
          <w:sz w:val="24"/>
        </w:rPr>
        <w:t>Agences web et intégrateurs : possibilité d’intégrer la protection dans les applications clientes.</w:t>
      </w:r>
    </w:p>
    <w:p w14:paraId="38CB61C4" w14:textId="77777777" w:rsidR="00F31C13" w:rsidRPr="00F155FF" w:rsidRDefault="00000000">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Modèle de déploiement et industrialisation</w:t>
      </w:r>
    </w:p>
    <w:p w14:paraId="6D727C09" w14:textId="77777777" w:rsidR="00F31C13" w:rsidRPr="00F155FF" w:rsidRDefault="00000000">
      <w:pPr>
        <w:spacing w:after="261"/>
        <w:ind w:left="-5" w:right="11"/>
        <w:rPr>
          <w:rFonts w:ascii="Times New Roman" w:hAnsi="Times New Roman" w:cs="Times New Roman"/>
          <w:sz w:val="24"/>
        </w:rPr>
      </w:pPr>
      <w:r w:rsidRPr="00F155FF">
        <w:rPr>
          <w:rFonts w:ascii="Times New Roman" w:hAnsi="Times New Roman" w:cs="Times New Roman"/>
          <w:sz w:val="24"/>
        </w:rPr>
        <w:t>Le produit est pensé pour évoluer vers plusieurs modes de déploiement : SaaS pour les structures recherchant une mise en service rapide, installation dédiée pour les organisations ayant des exigences particulières, et déploiement local pour les environnements sensibles ou à connectivité limitée. L’industrialisation devra renforcer la robustesse, la supervision, la sécurité, la gestion des versions du modèle et la simplicité d’intégration.</w:t>
      </w:r>
    </w:p>
    <w:p w14:paraId="5C0D4B52" w14:textId="77777777" w:rsidR="00F31C13" w:rsidRPr="00F155FF" w:rsidRDefault="00000000" w:rsidP="00F155FF">
      <w:pPr>
        <w:pStyle w:val="Titre1"/>
        <w:ind w:left="341" w:hanging="356"/>
        <w:rPr>
          <w:rFonts w:ascii="Times New Roman" w:hAnsi="Times New Roman" w:cs="Times New Roman"/>
          <w:sz w:val="28"/>
          <w:szCs w:val="28"/>
        </w:rPr>
      </w:pPr>
      <w:r w:rsidRPr="00F155FF">
        <w:rPr>
          <w:rFonts w:ascii="Times New Roman" w:hAnsi="Times New Roman" w:cs="Times New Roman"/>
          <w:sz w:val="28"/>
          <w:szCs w:val="28"/>
        </w:rPr>
        <w:t>Modèle économique envisagé</w:t>
      </w:r>
    </w:p>
    <w:p w14:paraId="050F71EB" w14:textId="77777777" w:rsidR="00F31C13" w:rsidRPr="00F155FF" w:rsidRDefault="00000000">
      <w:pPr>
        <w:numPr>
          <w:ilvl w:val="0"/>
          <w:numId w:val="4"/>
        </w:numPr>
        <w:ind w:right="11" w:hanging="158"/>
        <w:rPr>
          <w:rFonts w:ascii="Times New Roman" w:hAnsi="Times New Roman" w:cs="Times New Roman"/>
          <w:sz w:val="24"/>
        </w:rPr>
      </w:pPr>
      <w:r w:rsidRPr="00F155FF">
        <w:rPr>
          <w:rFonts w:ascii="Times New Roman" w:hAnsi="Times New Roman" w:cs="Times New Roman"/>
          <w:sz w:val="24"/>
        </w:rPr>
        <w:t>Offre d’entrée gratuite ou à coût symbolique pour les établissements éducatifs et très petites structures.</w:t>
      </w:r>
    </w:p>
    <w:p w14:paraId="3C91F1C7" w14:textId="77777777" w:rsidR="00F31C13" w:rsidRPr="00F155FF" w:rsidRDefault="00000000">
      <w:pPr>
        <w:numPr>
          <w:ilvl w:val="0"/>
          <w:numId w:val="4"/>
        </w:numPr>
        <w:ind w:right="11" w:hanging="158"/>
        <w:rPr>
          <w:rFonts w:ascii="Times New Roman" w:hAnsi="Times New Roman" w:cs="Times New Roman"/>
          <w:sz w:val="24"/>
        </w:rPr>
      </w:pPr>
      <w:r w:rsidRPr="00F155FF">
        <w:rPr>
          <w:rFonts w:ascii="Times New Roman" w:hAnsi="Times New Roman" w:cs="Times New Roman"/>
          <w:sz w:val="24"/>
        </w:rPr>
        <w:t>Abonnement SaaS pour PME et startups.</w:t>
      </w:r>
    </w:p>
    <w:p w14:paraId="45F53BFB" w14:textId="77777777" w:rsidR="00F31C13" w:rsidRPr="00F155FF" w:rsidRDefault="00000000">
      <w:pPr>
        <w:numPr>
          <w:ilvl w:val="0"/>
          <w:numId w:val="4"/>
        </w:numPr>
        <w:ind w:right="11" w:hanging="158"/>
        <w:rPr>
          <w:rFonts w:ascii="Times New Roman" w:hAnsi="Times New Roman" w:cs="Times New Roman"/>
          <w:sz w:val="24"/>
        </w:rPr>
      </w:pPr>
      <w:r w:rsidRPr="00F155FF">
        <w:rPr>
          <w:rFonts w:ascii="Times New Roman" w:hAnsi="Times New Roman" w:cs="Times New Roman"/>
          <w:sz w:val="24"/>
        </w:rPr>
        <w:lastRenderedPageBreak/>
        <w:t>Déploiements dédiés et contrats annuels pour administrations et institutions.</w:t>
      </w:r>
    </w:p>
    <w:p w14:paraId="6C0ADA1B" w14:textId="77777777" w:rsidR="00F31C13" w:rsidRPr="00F155FF" w:rsidRDefault="00000000">
      <w:pPr>
        <w:numPr>
          <w:ilvl w:val="0"/>
          <w:numId w:val="4"/>
        </w:numPr>
        <w:ind w:right="11" w:hanging="158"/>
        <w:rPr>
          <w:rFonts w:ascii="Times New Roman" w:hAnsi="Times New Roman" w:cs="Times New Roman"/>
          <w:sz w:val="24"/>
        </w:rPr>
      </w:pPr>
      <w:r w:rsidRPr="00F155FF">
        <w:rPr>
          <w:rFonts w:ascii="Times New Roman" w:hAnsi="Times New Roman" w:cs="Times New Roman"/>
          <w:sz w:val="24"/>
        </w:rPr>
        <w:t>Licences ou intégrations pour agences web et intégrateurs.</w:t>
      </w:r>
    </w:p>
    <w:p w14:paraId="775E3A69" w14:textId="77777777" w:rsidR="00F31C13" w:rsidRPr="00F155FF" w:rsidRDefault="00000000">
      <w:pPr>
        <w:numPr>
          <w:ilvl w:val="0"/>
          <w:numId w:val="4"/>
        </w:numPr>
        <w:spacing w:after="267"/>
        <w:ind w:right="11" w:hanging="158"/>
        <w:rPr>
          <w:rFonts w:ascii="Times New Roman" w:hAnsi="Times New Roman" w:cs="Times New Roman"/>
          <w:sz w:val="24"/>
        </w:rPr>
      </w:pPr>
      <w:r w:rsidRPr="00F155FF">
        <w:rPr>
          <w:rFonts w:ascii="Times New Roman" w:hAnsi="Times New Roman" w:cs="Times New Roman"/>
          <w:sz w:val="24"/>
        </w:rPr>
        <w:t>Services complémentaires : audit, accompagnement, formation et support.</w:t>
      </w:r>
    </w:p>
    <w:p w14:paraId="74F3D10B" w14:textId="77777777" w:rsidR="00F31C13" w:rsidRPr="00F155FF" w:rsidRDefault="00000000">
      <w:pPr>
        <w:pStyle w:val="Titre1"/>
        <w:ind w:left="515" w:hanging="530"/>
        <w:rPr>
          <w:rFonts w:ascii="Times New Roman" w:hAnsi="Times New Roman" w:cs="Times New Roman"/>
          <w:sz w:val="28"/>
          <w:szCs w:val="28"/>
        </w:rPr>
      </w:pPr>
      <w:r w:rsidRPr="00F155FF">
        <w:rPr>
          <w:rFonts w:ascii="Times New Roman" w:hAnsi="Times New Roman" w:cs="Times New Roman"/>
          <w:sz w:val="28"/>
          <w:szCs w:val="28"/>
        </w:rPr>
        <w:t>Feuille de route</w:t>
      </w:r>
    </w:p>
    <w:p w14:paraId="48A7796C" w14:textId="29A0C4F7" w:rsidR="00F31C13" w:rsidRPr="00F155FF" w:rsidRDefault="00000000">
      <w:pPr>
        <w:numPr>
          <w:ilvl w:val="0"/>
          <w:numId w:val="5"/>
        </w:numPr>
        <w:ind w:right="11"/>
        <w:rPr>
          <w:rFonts w:ascii="Times New Roman" w:hAnsi="Times New Roman" w:cs="Times New Roman"/>
          <w:sz w:val="24"/>
        </w:rPr>
      </w:pPr>
      <w:r w:rsidRPr="00F155FF">
        <w:rPr>
          <w:rFonts w:ascii="Times New Roman" w:hAnsi="Times New Roman" w:cs="Times New Roman"/>
          <w:sz w:val="24"/>
        </w:rPr>
        <w:t xml:space="preserve">Phase 1 — Industrialisation du MVP : robustesse, tests, performance, sécurité, packaging et </w:t>
      </w:r>
      <w:r w:rsidR="00F155FF">
        <w:rPr>
          <w:rFonts w:ascii="Times New Roman" w:hAnsi="Times New Roman" w:cs="Times New Roman"/>
          <w:sz w:val="24"/>
        </w:rPr>
        <w:tab/>
      </w:r>
      <w:r w:rsidRPr="00F155FF">
        <w:rPr>
          <w:rFonts w:ascii="Times New Roman" w:hAnsi="Times New Roman" w:cs="Times New Roman"/>
          <w:sz w:val="24"/>
        </w:rPr>
        <w:t>déploiement</w:t>
      </w:r>
      <w:r w:rsidR="00F155FF">
        <w:rPr>
          <w:rFonts w:ascii="Times New Roman" w:hAnsi="Times New Roman" w:cs="Times New Roman"/>
          <w:sz w:val="24"/>
        </w:rPr>
        <w:t xml:space="preserve"> </w:t>
      </w:r>
      <w:r w:rsidRPr="00F155FF">
        <w:rPr>
          <w:rFonts w:ascii="Times New Roman" w:hAnsi="Times New Roman" w:cs="Times New Roman"/>
          <w:sz w:val="24"/>
        </w:rPr>
        <w:t>simplifié.</w:t>
      </w:r>
    </w:p>
    <w:p w14:paraId="5BEA09C3" w14:textId="26A75E15" w:rsidR="00F31C13" w:rsidRPr="00F155FF" w:rsidRDefault="00000000">
      <w:pPr>
        <w:numPr>
          <w:ilvl w:val="0"/>
          <w:numId w:val="5"/>
        </w:numPr>
        <w:ind w:right="11"/>
        <w:rPr>
          <w:rFonts w:ascii="Times New Roman" w:hAnsi="Times New Roman" w:cs="Times New Roman"/>
          <w:sz w:val="24"/>
        </w:rPr>
      </w:pPr>
      <w:r w:rsidRPr="00F155FF">
        <w:rPr>
          <w:rFonts w:ascii="Times New Roman" w:hAnsi="Times New Roman" w:cs="Times New Roman"/>
          <w:sz w:val="24"/>
        </w:rPr>
        <w:t xml:space="preserve">Phase 2 — Extension applicative : ajout progressif de XSS, CSRF, LFI, mauvaises </w:t>
      </w:r>
      <w:r w:rsidR="00F155FF">
        <w:rPr>
          <w:rFonts w:ascii="Times New Roman" w:hAnsi="Times New Roman" w:cs="Times New Roman"/>
          <w:sz w:val="24"/>
        </w:rPr>
        <w:tab/>
      </w:r>
      <w:r w:rsidRPr="00F155FF">
        <w:rPr>
          <w:rFonts w:ascii="Times New Roman" w:hAnsi="Times New Roman" w:cs="Times New Roman"/>
          <w:sz w:val="24"/>
        </w:rPr>
        <w:t xml:space="preserve">configurations et mots </w:t>
      </w:r>
      <w:r w:rsidR="00F155FF" w:rsidRPr="00F155FF">
        <w:rPr>
          <w:rFonts w:ascii="Times New Roman" w:hAnsi="Times New Roman" w:cs="Times New Roman"/>
          <w:sz w:val="24"/>
        </w:rPr>
        <w:t>dépasse</w:t>
      </w:r>
      <w:r w:rsidRPr="00F155FF">
        <w:rPr>
          <w:rFonts w:ascii="Times New Roman" w:hAnsi="Times New Roman" w:cs="Times New Roman"/>
          <w:sz w:val="24"/>
        </w:rPr>
        <w:t xml:space="preserve"> faibles.</w:t>
      </w:r>
    </w:p>
    <w:p w14:paraId="3C855C66" w14:textId="17B0F1BA" w:rsidR="00F31C13" w:rsidRPr="00F155FF" w:rsidRDefault="00000000">
      <w:pPr>
        <w:numPr>
          <w:ilvl w:val="0"/>
          <w:numId w:val="5"/>
        </w:numPr>
        <w:ind w:right="11"/>
        <w:rPr>
          <w:rFonts w:ascii="Times New Roman" w:hAnsi="Times New Roman" w:cs="Times New Roman"/>
          <w:sz w:val="24"/>
        </w:rPr>
      </w:pPr>
      <w:r w:rsidRPr="00F155FF">
        <w:rPr>
          <w:rFonts w:ascii="Times New Roman" w:hAnsi="Times New Roman" w:cs="Times New Roman"/>
          <w:sz w:val="24"/>
        </w:rPr>
        <w:t xml:space="preserve">Phase 3 — Plateforme intelligente : apprentissage continu, corrélation d’événements, </w:t>
      </w:r>
      <w:r w:rsidR="00F155FF">
        <w:rPr>
          <w:rFonts w:ascii="Times New Roman" w:hAnsi="Times New Roman" w:cs="Times New Roman"/>
          <w:sz w:val="24"/>
        </w:rPr>
        <w:tab/>
      </w:r>
      <w:r w:rsidRPr="00F155FF">
        <w:rPr>
          <w:rFonts w:ascii="Times New Roman" w:hAnsi="Times New Roman" w:cs="Times New Roman"/>
          <w:sz w:val="24"/>
        </w:rPr>
        <w:t>recommandations</w:t>
      </w:r>
      <w:r w:rsidR="00F155FF">
        <w:rPr>
          <w:rFonts w:ascii="Times New Roman" w:hAnsi="Times New Roman" w:cs="Times New Roman"/>
          <w:sz w:val="24"/>
        </w:rPr>
        <w:t xml:space="preserve"> </w:t>
      </w:r>
      <w:r w:rsidRPr="00F155FF">
        <w:rPr>
          <w:rFonts w:ascii="Times New Roman" w:hAnsi="Times New Roman" w:cs="Times New Roman"/>
          <w:sz w:val="24"/>
        </w:rPr>
        <w:t>avancées et analyse élargie des environnements.</w:t>
      </w:r>
    </w:p>
    <w:p w14:paraId="633697BC" w14:textId="7C017D46" w:rsidR="00F31C13" w:rsidRPr="00F155FF" w:rsidRDefault="00000000">
      <w:pPr>
        <w:numPr>
          <w:ilvl w:val="0"/>
          <w:numId w:val="5"/>
        </w:numPr>
        <w:spacing w:after="97"/>
        <w:ind w:right="11"/>
        <w:rPr>
          <w:rFonts w:ascii="Times New Roman" w:hAnsi="Times New Roman" w:cs="Times New Roman"/>
          <w:sz w:val="24"/>
        </w:rPr>
      </w:pPr>
      <w:r w:rsidRPr="00F155FF">
        <w:rPr>
          <w:rFonts w:ascii="Times New Roman" w:hAnsi="Times New Roman" w:cs="Times New Roman"/>
          <w:sz w:val="24"/>
        </w:rPr>
        <w:t xml:space="preserve">Phase 4 — Déploiement souverain : optimisation du mode local/hors ligne et adaptation aux </w:t>
      </w:r>
      <w:r w:rsidR="00F155FF">
        <w:rPr>
          <w:rFonts w:ascii="Times New Roman" w:hAnsi="Times New Roman" w:cs="Times New Roman"/>
          <w:sz w:val="24"/>
        </w:rPr>
        <w:tab/>
      </w:r>
      <w:r w:rsidRPr="00F155FF">
        <w:rPr>
          <w:rFonts w:ascii="Times New Roman" w:hAnsi="Times New Roman" w:cs="Times New Roman"/>
          <w:sz w:val="24"/>
        </w:rPr>
        <w:t xml:space="preserve">contraintes </w:t>
      </w:r>
      <w:r w:rsidR="00F155FF" w:rsidRPr="00F155FF">
        <w:rPr>
          <w:rFonts w:ascii="Times New Roman" w:hAnsi="Times New Roman" w:cs="Times New Roman"/>
          <w:sz w:val="24"/>
        </w:rPr>
        <w:t>de connectivité</w:t>
      </w:r>
      <w:r w:rsidRPr="00F155FF">
        <w:rPr>
          <w:rFonts w:ascii="Times New Roman" w:hAnsi="Times New Roman" w:cs="Times New Roman"/>
          <w:sz w:val="24"/>
        </w:rPr>
        <w:t xml:space="preserve"> et d’infrastructure.</w:t>
      </w:r>
    </w:p>
    <w:p w14:paraId="4067E99A" w14:textId="77777777" w:rsidR="00F31C13" w:rsidRPr="00F155FF" w:rsidRDefault="00000000">
      <w:pPr>
        <w:spacing w:after="133" w:line="269" w:lineRule="auto"/>
        <w:ind w:left="-5"/>
        <w:rPr>
          <w:rFonts w:ascii="Times New Roman" w:hAnsi="Times New Roman" w:cs="Times New Roman"/>
        </w:rPr>
      </w:pPr>
      <w:r w:rsidRPr="00C54708">
        <w:rPr>
          <w:rFonts w:ascii="Times New Roman" w:hAnsi="Times New Roman" w:cs="Times New Roman"/>
          <w:color w:val="627D98"/>
          <w:sz w:val="24"/>
        </w:rPr>
        <w:t>I</w:t>
      </w:r>
      <w:r w:rsidRPr="00C54708">
        <w:rPr>
          <w:rFonts w:ascii="Times New Roman" w:hAnsi="Times New Roman" w:cs="Times New Roman"/>
          <w:sz w:val="24"/>
        </w:rPr>
        <w:t>mportant : les phases 2 à 4 sont des objectifs de développement ; elles ne sont pas présentées comme des fonctionnalités déjà disponibles dans le MVP.</w:t>
      </w:r>
    </w:p>
    <w:p w14:paraId="6D799EC5" w14:textId="77777777" w:rsidR="00F31C13" w:rsidRPr="00C54708" w:rsidRDefault="00000000">
      <w:pPr>
        <w:pStyle w:val="Titre1"/>
        <w:ind w:left="515" w:hanging="530"/>
        <w:rPr>
          <w:rFonts w:ascii="Times New Roman" w:hAnsi="Times New Roman" w:cs="Times New Roman"/>
          <w:sz w:val="28"/>
          <w:szCs w:val="28"/>
        </w:rPr>
      </w:pPr>
      <w:r w:rsidRPr="00C54708">
        <w:rPr>
          <w:rFonts w:ascii="Times New Roman" w:hAnsi="Times New Roman" w:cs="Times New Roman"/>
          <w:sz w:val="28"/>
          <w:szCs w:val="28"/>
        </w:rPr>
        <w:t>Impact et souveraineté numérique</w:t>
      </w:r>
    </w:p>
    <w:p w14:paraId="6DCCE5FF" w14:textId="77777777" w:rsidR="00F31C13" w:rsidRPr="00C54708" w:rsidRDefault="00000000">
      <w:pPr>
        <w:spacing w:after="261"/>
        <w:ind w:left="-5" w:right="11"/>
        <w:rPr>
          <w:rFonts w:ascii="Times New Roman" w:hAnsi="Times New Roman" w:cs="Times New Roman"/>
          <w:sz w:val="24"/>
        </w:rPr>
      </w:pPr>
      <w:r w:rsidRPr="00C54708">
        <w:rPr>
          <w:rFonts w:ascii="Times New Roman" w:hAnsi="Times New Roman" w:cs="Times New Roman"/>
          <w:sz w:val="24"/>
        </w:rPr>
        <w:t>CyberShield AI vise à démocratiser l’accès à la cybersécurité en réduisant la dépendance à des solutions complexes ou à une expertise rare. Le projet cherche à protéger les données et services numériques, à renforcer les compétences locales en IA et cybersécurité et à favoriser des capacités de déploiement et d’hébergement local. La contextualisation au Mali constitue un axe stratégique : simplicité d’usage, coûts maîtrisés et possibilité d’un fonctionnement local lorsque la connectivité est limitée.</w:t>
      </w:r>
    </w:p>
    <w:p w14:paraId="68A06058" w14:textId="77777777" w:rsidR="00F31C13" w:rsidRPr="00C54708" w:rsidRDefault="00000000">
      <w:pPr>
        <w:pStyle w:val="Titre1"/>
        <w:ind w:left="515" w:hanging="530"/>
        <w:rPr>
          <w:rFonts w:ascii="Times New Roman" w:hAnsi="Times New Roman" w:cs="Times New Roman"/>
          <w:sz w:val="28"/>
          <w:szCs w:val="28"/>
        </w:rPr>
      </w:pPr>
      <w:r w:rsidRPr="00C54708">
        <w:rPr>
          <w:rFonts w:ascii="Times New Roman" w:hAnsi="Times New Roman" w:cs="Times New Roman"/>
          <w:sz w:val="28"/>
          <w:szCs w:val="28"/>
        </w:rPr>
        <w:t>Différenciation</w:t>
      </w:r>
    </w:p>
    <w:p w14:paraId="6B9D01C8" w14:textId="77777777" w:rsidR="00F31C13" w:rsidRPr="00C54708" w:rsidRDefault="00000000">
      <w:pPr>
        <w:numPr>
          <w:ilvl w:val="0"/>
          <w:numId w:val="6"/>
        </w:numPr>
        <w:ind w:right="11" w:hanging="158"/>
        <w:rPr>
          <w:rFonts w:ascii="Times New Roman" w:hAnsi="Times New Roman" w:cs="Times New Roman"/>
          <w:sz w:val="24"/>
        </w:rPr>
      </w:pPr>
      <w:r w:rsidRPr="00C54708">
        <w:rPr>
          <w:rFonts w:ascii="Times New Roman" w:hAnsi="Times New Roman" w:cs="Times New Roman"/>
          <w:sz w:val="24"/>
        </w:rPr>
        <w:t>Un MVP technique déjà construit plutôt qu’une simple idée.</w:t>
      </w:r>
    </w:p>
    <w:p w14:paraId="015A527E" w14:textId="77777777" w:rsidR="00F31C13" w:rsidRPr="00C54708" w:rsidRDefault="00000000">
      <w:pPr>
        <w:numPr>
          <w:ilvl w:val="0"/>
          <w:numId w:val="6"/>
        </w:numPr>
        <w:ind w:right="11" w:hanging="158"/>
        <w:rPr>
          <w:rFonts w:ascii="Times New Roman" w:hAnsi="Times New Roman" w:cs="Times New Roman"/>
          <w:sz w:val="24"/>
        </w:rPr>
      </w:pPr>
      <w:r w:rsidRPr="00C54708">
        <w:rPr>
          <w:rFonts w:ascii="Times New Roman" w:hAnsi="Times New Roman" w:cs="Times New Roman"/>
          <w:sz w:val="24"/>
        </w:rPr>
        <w:t>Une spécialisation initiale claire sur SQL Injection permettant une démonstration vérifiable.</w:t>
      </w:r>
    </w:p>
    <w:p w14:paraId="011B5091" w14:textId="77777777" w:rsidR="00F31C13" w:rsidRPr="00C54708" w:rsidRDefault="00000000">
      <w:pPr>
        <w:numPr>
          <w:ilvl w:val="0"/>
          <w:numId w:val="6"/>
        </w:numPr>
        <w:ind w:right="11" w:hanging="158"/>
        <w:rPr>
          <w:rFonts w:ascii="Times New Roman" w:hAnsi="Times New Roman" w:cs="Times New Roman"/>
          <w:sz w:val="24"/>
        </w:rPr>
      </w:pPr>
      <w:r w:rsidRPr="00C54708">
        <w:rPr>
          <w:rFonts w:ascii="Times New Roman" w:hAnsi="Times New Roman" w:cs="Times New Roman"/>
          <w:sz w:val="24"/>
        </w:rPr>
        <w:t>Une architecture hybride qui combine règles rapides et IA sur les cas ambigus.</w:t>
      </w:r>
    </w:p>
    <w:p w14:paraId="0FEE8546" w14:textId="473AA4C4" w:rsidR="00F31C13" w:rsidRPr="00C54708" w:rsidRDefault="00000000">
      <w:pPr>
        <w:numPr>
          <w:ilvl w:val="0"/>
          <w:numId w:val="6"/>
        </w:numPr>
        <w:ind w:right="11" w:hanging="158"/>
        <w:rPr>
          <w:rFonts w:ascii="Times New Roman" w:hAnsi="Times New Roman" w:cs="Times New Roman"/>
          <w:sz w:val="24"/>
        </w:rPr>
      </w:pPr>
      <w:r w:rsidRPr="00C54708">
        <w:rPr>
          <w:rFonts w:ascii="Times New Roman" w:hAnsi="Times New Roman" w:cs="Times New Roman"/>
          <w:sz w:val="24"/>
        </w:rPr>
        <w:t xml:space="preserve">Une couche d’explication et d’accompagnement qui rapproche l’outil des besoins d’utilisateurs </w:t>
      </w:r>
      <w:r w:rsidR="00913096" w:rsidRPr="00C54708">
        <w:rPr>
          <w:rFonts w:ascii="Times New Roman" w:hAnsi="Times New Roman" w:cs="Times New Roman"/>
          <w:sz w:val="24"/>
        </w:rPr>
        <w:t>non-spécialistes</w:t>
      </w:r>
      <w:r w:rsidRPr="00C54708">
        <w:rPr>
          <w:rFonts w:ascii="Times New Roman" w:hAnsi="Times New Roman" w:cs="Times New Roman"/>
          <w:sz w:val="24"/>
        </w:rPr>
        <w:t>.</w:t>
      </w:r>
    </w:p>
    <w:p w14:paraId="4C7B8F0D" w14:textId="77777777" w:rsidR="00F31C13" w:rsidRPr="00C54708" w:rsidRDefault="00000000">
      <w:pPr>
        <w:numPr>
          <w:ilvl w:val="0"/>
          <w:numId w:val="6"/>
        </w:numPr>
        <w:spacing w:after="267"/>
        <w:ind w:right="11" w:hanging="158"/>
        <w:rPr>
          <w:rFonts w:ascii="Times New Roman" w:hAnsi="Times New Roman" w:cs="Times New Roman"/>
          <w:sz w:val="24"/>
        </w:rPr>
      </w:pPr>
      <w:r w:rsidRPr="00C54708">
        <w:rPr>
          <w:rFonts w:ascii="Times New Roman" w:hAnsi="Times New Roman" w:cs="Times New Roman"/>
          <w:sz w:val="24"/>
        </w:rPr>
        <w:t>Une trajectoire claire vers une plateforme multi-vulnérabilités sans surestimer les capacités actuelles.</w:t>
      </w:r>
    </w:p>
    <w:p w14:paraId="3B2BD541" w14:textId="77777777" w:rsidR="00F31C13" w:rsidRPr="00F155FF" w:rsidRDefault="00000000">
      <w:pPr>
        <w:pStyle w:val="Titre1"/>
        <w:ind w:left="515" w:hanging="530"/>
        <w:rPr>
          <w:rFonts w:ascii="Times New Roman" w:hAnsi="Times New Roman" w:cs="Times New Roman"/>
        </w:rPr>
      </w:pPr>
      <w:r w:rsidRPr="00C54708">
        <w:rPr>
          <w:rFonts w:ascii="Times New Roman" w:hAnsi="Times New Roman" w:cs="Times New Roman"/>
          <w:sz w:val="28"/>
          <w:szCs w:val="28"/>
        </w:rPr>
        <w:t>Vision</w:t>
      </w:r>
    </w:p>
    <w:p w14:paraId="1BA0F396" w14:textId="77777777" w:rsidR="00F31C13" w:rsidRPr="00C54708" w:rsidRDefault="00000000">
      <w:pPr>
        <w:spacing w:after="435"/>
        <w:ind w:left="-5" w:right="11"/>
        <w:rPr>
          <w:rFonts w:ascii="Times New Roman" w:hAnsi="Times New Roman" w:cs="Times New Roman"/>
          <w:sz w:val="24"/>
        </w:rPr>
      </w:pPr>
      <w:r w:rsidRPr="00C54708">
        <w:rPr>
          <w:rFonts w:ascii="Times New Roman" w:hAnsi="Times New Roman" w:cs="Times New Roman"/>
          <w:sz w:val="24"/>
        </w:rPr>
        <w:t>Faire évoluer CyberShield AI d’un système spécialisé de protection contre les injections SQL vers une plateforme intelligente d’assistance à la cybersécurité capable d’aider les organisations à détecter, comprendre, prioriser et corriger leurs risques numériques. La vision de long terme est de proposer une solution adaptée aux réalités maliennes et africaines, combinant intelligence artificielle, automatisation, accessibilité et souveraineté numérique.</w:t>
      </w:r>
    </w:p>
    <w:p w14:paraId="08AD7439" w14:textId="77777777" w:rsidR="00F31C13" w:rsidRPr="00F155FF" w:rsidRDefault="00000000">
      <w:pPr>
        <w:spacing w:after="82"/>
        <w:ind w:left="602"/>
        <w:rPr>
          <w:rFonts w:ascii="Times New Roman" w:hAnsi="Times New Roman" w:cs="Times New Roman"/>
        </w:rPr>
      </w:pPr>
      <w:r w:rsidRPr="00F155FF">
        <w:rPr>
          <w:rFonts w:ascii="Times New Roman" w:hAnsi="Times New Roman" w:cs="Times New Roman"/>
          <w:b/>
          <w:color w:val="007C91"/>
          <w:sz w:val="20"/>
        </w:rPr>
        <w:t>CyberShield AI — Détecter. Comprendre. Prioriser. Accompagner. Protéger.</w:t>
      </w:r>
    </w:p>
    <w:p w14:paraId="01506110" w14:textId="77777777" w:rsidR="00F31C13" w:rsidRPr="00F155FF" w:rsidRDefault="00000000">
      <w:pPr>
        <w:spacing w:after="133" w:line="269" w:lineRule="auto"/>
        <w:ind w:left="-5"/>
        <w:rPr>
          <w:rFonts w:ascii="Times New Roman" w:hAnsi="Times New Roman" w:cs="Times New Roman"/>
        </w:rPr>
      </w:pPr>
      <w:r w:rsidRPr="00F155FF">
        <w:rPr>
          <w:rFonts w:ascii="Times New Roman" w:hAnsi="Times New Roman" w:cs="Times New Roman"/>
          <w:color w:val="627D98"/>
          <w:sz w:val="15"/>
        </w:rPr>
        <w:t>Document de synthèse technique préparé pour accompagner la candidature JNC. Les performances et fonctionnalités indiquées comme existantes se rapportent au MVP documenté ; les autres éléments sont explicitement présentés comme des évolutions.</w:t>
      </w:r>
    </w:p>
    <w:sectPr w:rsidR="00F31C13" w:rsidRPr="00F155FF">
      <w:footerReference w:type="even" r:id="rId7"/>
      <w:footerReference w:type="default" r:id="rId8"/>
      <w:footerReference w:type="first" r:id="rId9"/>
      <w:pgSz w:w="11906" w:h="16838"/>
      <w:pgMar w:top="1012" w:right="1084" w:bottom="1158" w:left="1084" w:header="720" w:footer="4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240DD0" w14:textId="77777777" w:rsidR="00C26D91" w:rsidRDefault="00C26D91">
      <w:pPr>
        <w:spacing w:after="0" w:line="240" w:lineRule="auto"/>
      </w:pPr>
      <w:r>
        <w:separator/>
      </w:r>
    </w:p>
  </w:endnote>
  <w:endnote w:type="continuationSeparator" w:id="0">
    <w:p w14:paraId="7D246517" w14:textId="77777777" w:rsidR="00C26D91" w:rsidRDefault="00C26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121C4" w14:textId="77777777" w:rsidR="00F31C13" w:rsidRDefault="00000000">
    <w:pPr>
      <w:tabs>
        <w:tab w:val="right" w:pos="9738"/>
      </w:tabs>
      <w:spacing w:after="0"/>
      <w:ind w:left="-120" w:right="-120" w:firstLine="0"/>
    </w:pPr>
    <w:r>
      <w:rPr>
        <w:color w:val="7B8794"/>
        <w:sz w:val="14"/>
      </w:rPr>
      <w:t>CyberShield AI — Fiche technique V2 — JNC Mali</w:t>
    </w:r>
    <w:r>
      <w:rPr>
        <w:color w:val="7B8794"/>
        <w:sz w:val="14"/>
      </w:rPr>
      <w:tab/>
      <w:t xml:space="preserve">Page </w:t>
    </w:r>
    <w:r>
      <w:fldChar w:fldCharType="begin"/>
    </w:r>
    <w:r>
      <w:instrText xml:space="preserve"> PAGE   \* MERGEFORMAT </w:instrText>
    </w:r>
    <w:r>
      <w:fldChar w:fldCharType="separate"/>
    </w:r>
    <w:r>
      <w:rPr>
        <w:color w:val="7B8794"/>
        <w:sz w:val="14"/>
      </w:rPr>
      <w:t>1</w:t>
    </w:r>
    <w:r>
      <w:rPr>
        <w:color w:val="7B8794"/>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97B2C" w14:textId="77777777" w:rsidR="00F31C13" w:rsidRDefault="00000000">
    <w:pPr>
      <w:tabs>
        <w:tab w:val="right" w:pos="9738"/>
      </w:tabs>
      <w:spacing w:after="0"/>
      <w:ind w:left="-120" w:right="-120" w:firstLine="0"/>
    </w:pPr>
    <w:r>
      <w:rPr>
        <w:color w:val="7B8794"/>
        <w:sz w:val="14"/>
      </w:rPr>
      <w:t>CyberShield AI — Fiche technique V2 — JNC Mali</w:t>
    </w:r>
    <w:r>
      <w:rPr>
        <w:color w:val="7B8794"/>
        <w:sz w:val="14"/>
      </w:rPr>
      <w:tab/>
      <w:t xml:space="preserve">Page </w:t>
    </w:r>
    <w:r>
      <w:fldChar w:fldCharType="begin"/>
    </w:r>
    <w:r>
      <w:instrText xml:space="preserve"> PAGE   \* MERGEFORMAT </w:instrText>
    </w:r>
    <w:r>
      <w:fldChar w:fldCharType="separate"/>
    </w:r>
    <w:r>
      <w:rPr>
        <w:color w:val="7B8794"/>
        <w:sz w:val="14"/>
      </w:rPr>
      <w:t>1</w:t>
    </w:r>
    <w:r>
      <w:rPr>
        <w:color w:val="7B8794"/>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21E03" w14:textId="77777777" w:rsidR="00F31C13" w:rsidRDefault="00000000">
    <w:pPr>
      <w:tabs>
        <w:tab w:val="right" w:pos="9738"/>
      </w:tabs>
      <w:spacing w:after="0"/>
      <w:ind w:left="-120" w:right="-120" w:firstLine="0"/>
    </w:pPr>
    <w:r>
      <w:rPr>
        <w:color w:val="7B8794"/>
        <w:sz w:val="14"/>
      </w:rPr>
      <w:t>CyberShield AI — Fiche technique V2 — JNC Mali</w:t>
    </w:r>
    <w:r>
      <w:rPr>
        <w:color w:val="7B8794"/>
        <w:sz w:val="14"/>
      </w:rPr>
      <w:tab/>
      <w:t xml:space="preserve">Page </w:t>
    </w:r>
    <w:r>
      <w:fldChar w:fldCharType="begin"/>
    </w:r>
    <w:r>
      <w:instrText xml:space="preserve"> PAGE   \* MERGEFORMAT </w:instrText>
    </w:r>
    <w:r>
      <w:fldChar w:fldCharType="separate"/>
    </w:r>
    <w:r>
      <w:rPr>
        <w:color w:val="7B8794"/>
        <w:sz w:val="14"/>
      </w:rPr>
      <w:t>1</w:t>
    </w:r>
    <w:r>
      <w:rPr>
        <w:color w:val="7B8794"/>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C510E" w14:textId="77777777" w:rsidR="00C26D91" w:rsidRDefault="00C26D91">
      <w:pPr>
        <w:spacing w:after="0" w:line="240" w:lineRule="auto"/>
      </w:pPr>
      <w:r>
        <w:separator/>
      </w:r>
    </w:p>
  </w:footnote>
  <w:footnote w:type="continuationSeparator" w:id="0">
    <w:p w14:paraId="7152267A" w14:textId="77777777" w:rsidR="00C26D91" w:rsidRDefault="00C26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0512E"/>
    <w:multiLevelType w:val="hybridMultilevel"/>
    <w:tmpl w:val="154C5382"/>
    <w:lvl w:ilvl="0" w:tplc="05945DF8">
      <w:start w:val="1"/>
      <w:numFmt w:val="decimal"/>
      <w:pStyle w:val="Titre1"/>
      <w:lvlText w:val="%1."/>
      <w:lvlJc w:val="left"/>
      <w:pPr>
        <w:ind w:left="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1" w:tplc="5718BFA8">
      <w:start w:val="1"/>
      <w:numFmt w:val="lowerLetter"/>
      <w:lvlText w:val="%2"/>
      <w:lvlJc w:val="left"/>
      <w:pPr>
        <w:ind w:left="108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2" w:tplc="20385D06">
      <w:start w:val="1"/>
      <w:numFmt w:val="lowerRoman"/>
      <w:lvlText w:val="%3"/>
      <w:lvlJc w:val="left"/>
      <w:pPr>
        <w:ind w:left="180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3" w:tplc="2904FE1A">
      <w:start w:val="1"/>
      <w:numFmt w:val="decimal"/>
      <w:lvlText w:val="%4"/>
      <w:lvlJc w:val="left"/>
      <w:pPr>
        <w:ind w:left="252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4" w:tplc="EDD83890">
      <w:start w:val="1"/>
      <w:numFmt w:val="lowerLetter"/>
      <w:lvlText w:val="%5"/>
      <w:lvlJc w:val="left"/>
      <w:pPr>
        <w:ind w:left="324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5" w:tplc="73ECAEFA">
      <w:start w:val="1"/>
      <w:numFmt w:val="lowerRoman"/>
      <w:lvlText w:val="%6"/>
      <w:lvlJc w:val="left"/>
      <w:pPr>
        <w:ind w:left="396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6" w:tplc="4F282792">
      <w:start w:val="1"/>
      <w:numFmt w:val="decimal"/>
      <w:lvlText w:val="%7"/>
      <w:lvlJc w:val="left"/>
      <w:pPr>
        <w:ind w:left="468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7" w:tplc="8DBCD44A">
      <w:start w:val="1"/>
      <w:numFmt w:val="lowerLetter"/>
      <w:lvlText w:val="%8"/>
      <w:lvlJc w:val="left"/>
      <w:pPr>
        <w:ind w:left="540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lvl w:ilvl="8" w:tplc="A58C793C">
      <w:start w:val="1"/>
      <w:numFmt w:val="lowerRoman"/>
      <w:lvlText w:val="%9"/>
      <w:lvlJc w:val="left"/>
      <w:pPr>
        <w:ind w:left="6120"/>
      </w:pPr>
      <w:rPr>
        <w:rFonts w:ascii="Calibri" w:eastAsia="Calibri" w:hAnsi="Calibri" w:cs="Calibri"/>
        <w:b/>
        <w:bCs/>
        <w:i w:val="0"/>
        <w:strike w:val="0"/>
        <w:dstrike w:val="0"/>
        <w:color w:val="12344D"/>
        <w:sz w:val="25"/>
        <w:szCs w:val="25"/>
        <w:u w:val="none" w:color="000000"/>
        <w:bdr w:val="none" w:sz="0" w:space="0" w:color="auto"/>
        <w:shd w:val="clear" w:color="auto" w:fill="auto"/>
        <w:vertAlign w:val="baseline"/>
      </w:rPr>
    </w:lvl>
  </w:abstractNum>
  <w:abstractNum w:abstractNumId="1" w15:restartNumberingAfterBreak="0">
    <w:nsid w:val="12F16834"/>
    <w:multiLevelType w:val="hybridMultilevel"/>
    <w:tmpl w:val="CCC8A260"/>
    <w:lvl w:ilvl="0" w:tplc="DF068A48">
      <w:start w:val="1"/>
      <w:numFmt w:val="bullet"/>
      <w:lvlText w:val="•"/>
      <w:lvlJc w:val="left"/>
      <w:pPr>
        <w:ind w:left="158"/>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1" w:tplc="4DA62E7E">
      <w:start w:val="1"/>
      <w:numFmt w:val="bullet"/>
      <w:lvlText w:val="o"/>
      <w:lvlJc w:val="left"/>
      <w:pPr>
        <w:ind w:left="10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2" w:tplc="DFF0AABA">
      <w:start w:val="1"/>
      <w:numFmt w:val="bullet"/>
      <w:lvlText w:val="▪"/>
      <w:lvlJc w:val="left"/>
      <w:pPr>
        <w:ind w:left="18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3" w:tplc="52FABD24">
      <w:start w:val="1"/>
      <w:numFmt w:val="bullet"/>
      <w:lvlText w:val="•"/>
      <w:lvlJc w:val="left"/>
      <w:pPr>
        <w:ind w:left="25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4" w:tplc="C2B067F4">
      <w:start w:val="1"/>
      <w:numFmt w:val="bullet"/>
      <w:lvlText w:val="o"/>
      <w:lvlJc w:val="left"/>
      <w:pPr>
        <w:ind w:left="324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5" w:tplc="98C41D78">
      <w:start w:val="1"/>
      <w:numFmt w:val="bullet"/>
      <w:lvlText w:val="▪"/>
      <w:lvlJc w:val="left"/>
      <w:pPr>
        <w:ind w:left="396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6" w:tplc="E96EB6D8">
      <w:start w:val="1"/>
      <w:numFmt w:val="bullet"/>
      <w:lvlText w:val="•"/>
      <w:lvlJc w:val="left"/>
      <w:pPr>
        <w:ind w:left="46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7" w:tplc="F042B54A">
      <w:start w:val="1"/>
      <w:numFmt w:val="bullet"/>
      <w:lvlText w:val="o"/>
      <w:lvlJc w:val="left"/>
      <w:pPr>
        <w:ind w:left="54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8" w:tplc="46E8BE9E">
      <w:start w:val="1"/>
      <w:numFmt w:val="bullet"/>
      <w:lvlText w:val="▪"/>
      <w:lvlJc w:val="left"/>
      <w:pPr>
        <w:ind w:left="61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abstractNum>
  <w:abstractNum w:abstractNumId="2" w15:restartNumberingAfterBreak="0">
    <w:nsid w:val="21A9052A"/>
    <w:multiLevelType w:val="hybridMultilevel"/>
    <w:tmpl w:val="7C94B0BC"/>
    <w:lvl w:ilvl="0" w:tplc="995AADA4">
      <w:start w:val="1"/>
      <w:numFmt w:val="bullet"/>
      <w:lvlText w:val="•"/>
      <w:lvlJc w:val="left"/>
      <w:pPr>
        <w:ind w:left="158"/>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1" w:tplc="D8F00A58">
      <w:start w:val="1"/>
      <w:numFmt w:val="bullet"/>
      <w:lvlText w:val="o"/>
      <w:lvlJc w:val="left"/>
      <w:pPr>
        <w:ind w:left="10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2" w:tplc="4F306850">
      <w:start w:val="1"/>
      <w:numFmt w:val="bullet"/>
      <w:lvlText w:val="▪"/>
      <w:lvlJc w:val="left"/>
      <w:pPr>
        <w:ind w:left="18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3" w:tplc="64DE0E2A">
      <w:start w:val="1"/>
      <w:numFmt w:val="bullet"/>
      <w:lvlText w:val="•"/>
      <w:lvlJc w:val="left"/>
      <w:pPr>
        <w:ind w:left="25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4" w:tplc="BB624992">
      <w:start w:val="1"/>
      <w:numFmt w:val="bullet"/>
      <w:lvlText w:val="o"/>
      <w:lvlJc w:val="left"/>
      <w:pPr>
        <w:ind w:left="324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5" w:tplc="F5D8201C">
      <w:start w:val="1"/>
      <w:numFmt w:val="bullet"/>
      <w:lvlText w:val="▪"/>
      <w:lvlJc w:val="left"/>
      <w:pPr>
        <w:ind w:left="396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6" w:tplc="5E0C60C4">
      <w:start w:val="1"/>
      <w:numFmt w:val="bullet"/>
      <w:lvlText w:val="•"/>
      <w:lvlJc w:val="left"/>
      <w:pPr>
        <w:ind w:left="46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7" w:tplc="A6AEDABA">
      <w:start w:val="1"/>
      <w:numFmt w:val="bullet"/>
      <w:lvlText w:val="o"/>
      <w:lvlJc w:val="left"/>
      <w:pPr>
        <w:ind w:left="54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8" w:tplc="BF0600E2">
      <w:start w:val="1"/>
      <w:numFmt w:val="bullet"/>
      <w:lvlText w:val="▪"/>
      <w:lvlJc w:val="left"/>
      <w:pPr>
        <w:ind w:left="61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abstractNum>
  <w:abstractNum w:abstractNumId="3" w15:restartNumberingAfterBreak="0">
    <w:nsid w:val="26C87D7A"/>
    <w:multiLevelType w:val="hybridMultilevel"/>
    <w:tmpl w:val="18EA4C1E"/>
    <w:lvl w:ilvl="0" w:tplc="86D2BD86">
      <w:start w:val="1"/>
      <w:numFmt w:val="bullet"/>
      <w:lvlText w:val="•"/>
      <w:lvlJc w:val="left"/>
      <w:pPr>
        <w:ind w:left="158"/>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1" w:tplc="73F881AC">
      <w:start w:val="1"/>
      <w:numFmt w:val="bullet"/>
      <w:lvlText w:val="o"/>
      <w:lvlJc w:val="left"/>
      <w:pPr>
        <w:ind w:left="10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2" w:tplc="1898FDB4">
      <w:start w:val="1"/>
      <w:numFmt w:val="bullet"/>
      <w:lvlText w:val="▪"/>
      <w:lvlJc w:val="left"/>
      <w:pPr>
        <w:ind w:left="18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3" w:tplc="AEA45706">
      <w:start w:val="1"/>
      <w:numFmt w:val="bullet"/>
      <w:lvlText w:val="•"/>
      <w:lvlJc w:val="left"/>
      <w:pPr>
        <w:ind w:left="25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4" w:tplc="E6C469A6">
      <w:start w:val="1"/>
      <w:numFmt w:val="bullet"/>
      <w:lvlText w:val="o"/>
      <w:lvlJc w:val="left"/>
      <w:pPr>
        <w:ind w:left="324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5" w:tplc="8C68DBFA">
      <w:start w:val="1"/>
      <w:numFmt w:val="bullet"/>
      <w:lvlText w:val="▪"/>
      <w:lvlJc w:val="left"/>
      <w:pPr>
        <w:ind w:left="396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6" w:tplc="B47A22CC">
      <w:start w:val="1"/>
      <w:numFmt w:val="bullet"/>
      <w:lvlText w:val="•"/>
      <w:lvlJc w:val="left"/>
      <w:pPr>
        <w:ind w:left="46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7" w:tplc="3BA0B948">
      <w:start w:val="1"/>
      <w:numFmt w:val="bullet"/>
      <w:lvlText w:val="o"/>
      <w:lvlJc w:val="left"/>
      <w:pPr>
        <w:ind w:left="54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8" w:tplc="A77A7DBC">
      <w:start w:val="1"/>
      <w:numFmt w:val="bullet"/>
      <w:lvlText w:val="▪"/>
      <w:lvlJc w:val="left"/>
      <w:pPr>
        <w:ind w:left="61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abstractNum>
  <w:abstractNum w:abstractNumId="4" w15:restartNumberingAfterBreak="0">
    <w:nsid w:val="5791178D"/>
    <w:multiLevelType w:val="hybridMultilevel"/>
    <w:tmpl w:val="86749A14"/>
    <w:lvl w:ilvl="0" w:tplc="7A08059E">
      <w:start w:val="1"/>
      <w:numFmt w:val="bullet"/>
      <w:lvlText w:val="•"/>
      <w:lvlJc w:val="left"/>
      <w:pPr>
        <w:ind w:left="1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1" w:tplc="C226E270">
      <w:start w:val="1"/>
      <w:numFmt w:val="bullet"/>
      <w:lvlText w:val="o"/>
      <w:lvlJc w:val="left"/>
      <w:pPr>
        <w:ind w:left="10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2" w:tplc="7198576C">
      <w:start w:val="1"/>
      <w:numFmt w:val="bullet"/>
      <w:lvlText w:val="▪"/>
      <w:lvlJc w:val="left"/>
      <w:pPr>
        <w:ind w:left="18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3" w:tplc="2F88E076">
      <w:start w:val="1"/>
      <w:numFmt w:val="bullet"/>
      <w:lvlText w:val="•"/>
      <w:lvlJc w:val="left"/>
      <w:pPr>
        <w:ind w:left="25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4" w:tplc="A7A62E4A">
      <w:start w:val="1"/>
      <w:numFmt w:val="bullet"/>
      <w:lvlText w:val="o"/>
      <w:lvlJc w:val="left"/>
      <w:pPr>
        <w:ind w:left="324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5" w:tplc="28B2BCAC">
      <w:start w:val="1"/>
      <w:numFmt w:val="bullet"/>
      <w:lvlText w:val="▪"/>
      <w:lvlJc w:val="left"/>
      <w:pPr>
        <w:ind w:left="396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6" w:tplc="BCE05970">
      <w:start w:val="1"/>
      <w:numFmt w:val="bullet"/>
      <w:lvlText w:val="•"/>
      <w:lvlJc w:val="left"/>
      <w:pPr>
        <w:ind w:left="46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7" w:tplc="78220D5C">
      <w:start w:val="1"/>
      <w:numFmt w:val="bullet"/>
      <w:lvlText w:val="o"/>
      <w:lvlJc w:val="left"/>
      <w:pPr>
        <w:ind w:left="54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8" w:tplc="07BAAA36">
      <w:start w:val="1"/>
      <w:numFmt w:val="bullet"/>
      <w:lvlText w:val="▪"/>
      <w:lvlJc w:val="left"/>
      <w:pPr>
        <w:ind w:left="61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abstractNum>
  <w:abstractNum w:abstractNumId="5" w15:restartNumberingAfterBreak="0">
    <w:nsid w:val="69C904BF"/>
    <w:multiLevelType w:val="hybridMultilevel"/>
    <w:tmpl w:val="83F86154"/>
    <w:lvl w:ilvl="0" w:tplc="70C6F386">
      <w:start w:val="1"/>
      <w:numFmt w:val="bullet"/>
      <w:lvlText w:val="•"/>
      <w:lvlJc w:val="left"/>
      <w:pPr>
        <w:ind w:left="158"/>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1" w:tplc="E84662D4">
      <w:start w:val="1"/>
      <w:numFmt w:val="bullet"/>
      <w:lvlText w:val="o"/>
      <w:lvlJc w:val="left"/>
      <w:pPr>
        <w:ind w:left="10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2" w:tplc="F87AF7AE">
      <w:start w:val="1"/>
      <w:numFmt w:val="bullet"/>
      <w:lvlText w:val="▪"/>
      <w:lvlJc w:val="left"/>
      <w:pPr>
        <w:ind w:left="18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3" w:tplc="87FE9362">
      <w:start w:val="1"/>
      <w:numFmt w:val="bullet"/>
      <w:lvlText w:val="•"/>
      <w:lvlJc w:val="left"/>
      <w:pPr>
        <w:ind w:left="25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4" w:tplc="BE04528C">
      <w:start w:val="1"/>
      <w:numFmt w:val="bullet"/>
      <w:lvlText w:val="o"/>
      <w:lvlJc w:val="left"/>
      <w:pPr>
        <w:ind w:left="324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5" w:tplc="4E94F5E8">
      <w:start w:val="1"/>
      <w:numFmt w:val="bullet"/>
      <w:lvlText w:val="▪"/>
      <w:lvlJc w:val="left"/>
      <w:pPr>
        <w:ind w:left="396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6" w:tplc="862E2622">
      <w:start w:val="1"/>
      <w:numFmt w:val="bullet"/>
      <w:lvlText w:val="•"/>
      <w:lvlJc w:val="left"/>
      <w:pPr>
        <w:ind w:left="46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7" w:tplc="7152E826">
      <w:start w:val="1"/>
      <w:numFmt w:val="bullet"/>
      <w:lvlText w:val="o"/>
      <w:lvlJc w:val="left"/>
      <w:pPr>
        <w:ind w:left="54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8" w:tplc="8BCA694E">
      <w:start w:val="1"/>
      <w:numFmt w:val="bullet"/>
      <w:lvlText w:val="▪"/>
      <w:lvlJc w:val="left"/>
      <w:pPr>
        <w:ind w:left="61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abstractNum>
  <w:abstractNum w:abstractNumId="6" w15:restartNumberingAfterBreak="0">
    <w:nsid w:val="7648722B"/>
    <w:multiLevelType w:val="hybridMultilevel"/>
    <w:tmpl w:val="6F708CEC"/>
    <w:lvl w:ilvl="0" w:tplc="E3967080">
      <w:start w:val="1"/>
      <w:numFmt w:val="bullet"/>
      <w:lvlText w:val="•"/>
      <w:lvlJc w:val="left"/>
      <w:pPr>
        <w:ind w:left="158"/>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1" w:tplc="7494E522">
      <w:start w:val="1"/>
      <w:numFmt w:val="bullet"/>
      <w:lvlText w:val="o"/>
      <w:lvlJc w:val="left"/>
      <w:pPr>
        <w:ind w:left="10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2" w:tplc="C570DB12">
      <w:start w:val="1"/>
      <w:numFmt w:val="bullet"/>
      <w:lvlText w:val="▪"/>
      <w:lvlJc w:val="left"/>
      <w:pPr>
        <w:ind w:left="18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3" w:tplc="E72618FC">
      <w:start w:val="1"/>
      <w:numFmt w:val="bullet"/>
      <w:lvlText w:val="•"/>
      <w:lvlJc w:val="left"/>
      <w:pPr>
        <w:ind w:left="25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4" w:tplc="00BA4804">
      <w:start w:val="1"/>
      <w:numFmt w:val="bullet"/>
      <w:lvlText w:val="o"/>
      <w:lvlJc w:val="left"/>
      <w:pPr>
        <w:ind w:left="324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5" w:tplc="1A84A0F6">
      <w:start w:val="1"/>
      <w:numFmt w:val="bullet"/>
      <w:lvlText w:val="▪"/>
      <w:lvlJc w:val="left"/>
      <w:pPr>
        <w:ind w:left="396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6" w:tplc="7F66F2A0">
      <w:start w:val="1"/>
      <w:numFmt w:val="bullet"/>
      <w:lvlText w:val="•"/>
      <w:lvlJc w:val="left"/>
      <w:pPr>
        <w:ind w:left="468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7" w:tplc="A8764FA8">
      <w:start w:val="1"/>
      <w:numFmt w:val="bullet"/>
      <w:lvlText w:val="o"/>
      <w:lvlJc w:val="left"/>
      <w:pPr>
        <w:ind w:left="540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lvl w:ilvl="8" w:tplc="49B6488A">
      <w:start w:val="1"/>
      <w:numFmt w:val="bullet"/>
      <w:lvlText w:val="▪"/>
      <w:lvlJc w:val="left"/>
      <w:pPr>
        <w:ind w:left="6120"/>
      </w:pPr>
      <w:rPr>
        <w:rFonts w:ascii="Calibri" w:eastAsia="Calibri" w:hAnsi="Calibri" w:cs="Calibri"/>
        <w:b w:val="0"/>
        <w:i w:val="0"/>
        <w:strike w:val="0"/>
        <w:dstrike w:val="0"/>
        <w:color w:val="243B53"/>
        <w:sz w:val="17"/>
        <w:szCs w:val="17"/>
        <w:u w:val="none" w:color="000000"/>
        <w:bdr w:val="none" w:sz="0" w:space="0" w:color="auto"/>
        <w:shd w:val="clear" w:color="auto" w:fill="auto"/>
        <w:vertAlign w:val="baseline"/>
      </w:rPr>
    </w:lvl>
  </w:abstractNum>
  <w:num w:numId="1" w16cid:durableId="1304771878">
    <w:abstractNumId w:val="3"/>
  </w:num>
  <w:num w:numId="2" w16cid:durableId="297030702">
    <w:abstractNumId w:val="5"/>
  </w:num>
  <w:num w:numId="3" w16cid:durableId="1667584931">
    <w:abstractNumId w:val="1"/>
  </w:num>
  <w:num w:numId="4" w16cid:durableId="912206056">
    <w:abstractNumId w:val="2"/>
  </w:num>
  <w:num w:numId="5" w16cid:durableId="1228610489">
    <w:abstractNumId w:val="4"/>
  </w:num>
  <w:num w:numId="6" w16cid:durableId="1065880968">
    <w:abstractNumId w:val="6"/>
  </w:num>
  <w:num w:numId="7" w16cid:durableId="390931875">
    <w:abstractNumId w:val="0"/>
  </w:num>
  <w:num w:numId="8" w16cid:durableId="117186019">
    <w:abstractNumId w:val="0"/>
  </w:num>
  <w:num w:numId="9" w16cid:durableId="644315456">
    <w:abstractNumId w:val="0"/>
  </w:num>
  <w:num w:numId="10" w16cid:durableId="82346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C13"/>
    <w:rsid w:val="00913096"/>
    <w:rsid w:val="00C26D91"/>
    <w:rsid w:val="00C52A00"/>
    <w:rsid w:val="00C54708"/>
    <w:rsid w:val="00F155FF"/>
    <w:rsid w:val="00F31C13"/>
    <w:rsid w:val="00F52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F441"/>
  <w15:docId w15:val="{EAA4789C-B058-42EB-9348-1E53DEBD4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pPr>
    <w:rPr>
      <w:rFonts w:ascii="Calibri" w:eastAsia="Calibri" w:hAnsi="Calibri" w:cs="Calibri"/>
      <w:color w:val="243B53"/>
      <w:sz w:val="17"/>
    </w:rPr>
  </w:style>
  <w:style w:type="paragraph" w:styleId="Titre1">
    <w:name w:val="heading 1"/>
    <w:next w:val="Normal"/>
    <w:link w:val="Titre1Car"/>
    <w:uiPriority w:val="9"/>
    <w:qFormat/>
    <w:pPr>
      <w:keepNext/>
      <w:keepLines/>
      <w:numPr>
        <w:numId w:val="7"/>
      </w:numPr>
      <w:spacing w:after="14" w:line="259" w:lineRule="auto"/>
      <w:outlineLvl w:val="0"/>
    </w:pPr>
    <w:rPr>
      <w:rFonts w:ascii="Calibri" w:eastAsia="Calibri" w:hAnsi="Calibri" w:cs="Calibri"/>
      <w:b/>
      <w:color w:val="12344D"/>
      <w:sz w:val="2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12344D"/>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1372</Words>
  <Characters>7552</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Doucoure Sékou</cp:lastModifiedBy>
  <cp:revision>5</cp:revision>
  <cp:lastPrinted>2026-10-14T07:56:00Z</cp:lastPrinted>
  <dcterms:created xsi:type="dcterms:W3CDTF">2026-10-14T07:44:00Z</dcterms:created>
  <dcterms:modified xsi:type="dcterms:W3CDTF">2026-10-14T07:56:00Z</dcterms:modified>
</cp:coreProperties>
</file>