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7F61B" w14:textId="225A5C70" w:rsidR="00F565BA" w:rsidRPr="008538E2" w:rsidRDefault="00B71252" w:rsidP="000C32B1">
      <w:pPr>
        <w:pStyle w:val="Title"/>
        <w:rPr>
          <w:color w:val="EE0000"/>
          <w:sz w:val="24"/>
          <w:szCs w:val="24"/>
        </w:rPr>
      </w:pPr>
      <w:r>
        <w:rPr>
          <w:sz w:val="48"/>
          <w:szCs w:val="48"/>
        </w:rPr>
        <w:fldChar w:fldCharType="begin"/>
      </w:r>
      <w:r>
        <w:rPr>
          <w:sz w:val="48"/>
          <w:szCs w:val="48"/>
        </w:rPr>
        <w:instrText xml:space="preserve"> MACROBUTTON MTEditEquationSection2 </w:instrText>
      </w:r>
      <w:r>
        <w:rPr>
          <w:rStyle w:val="MTEquationSection"/>
        </w:rPr>
        <w:instrText>Equation Chapter 1 Section  243</w:instrText>
      </w:r>
      <w:r>
        <w:rPr>
          <w:sz w:val="48"/>
          <w:szCs w:val="48"/>
        </w:rPr>
        <w:fldChar w:fldCharType="begin"/>
      </w:r>
      <w:r>
        <w:rPr>
          <w:sz w:val="48"/>
          <w:szCs w:val="48"/>
        </w:rPr>
        <w:instrText xml:space="preserve"> SEQ MTEqn \r \h \* MERGEFORMAT </w:instrText>
      </w:r>
      <w:r>
        <w:rPr>
          <w:sz w:val="48"/>
          <w:szCs w:val="48"/>
        </w:rPr>
        <w:fldChar w:fldCharType="end"/>
      </w:r>
      <w:r>
        <w:rPr>
          <w:sz w:val="48"/>
          <w:szCs w:val="48"/>
        </w:rPr>
        <w:fldChar w:fldCharType="begin"/>
      </w:r>
      <w:r>
        <w:rPr>
          <w:sz w:val="48"/>
          <w:szCs w:val="48"/>
        </w:rPr>
        <w:instrText xml:space="preserve"> SEQ MTSec \r  243 \h \* MERGEFORMAT </w:instrText>
      </w:r>
      <w:r>
        <w:rPr>
          <w:sz w:val="48"/>
          <w:szCs w:val="48"/>
        </w:rPr>
        <w:fldChar w:fldCharType="end"/>
      </w:r>
      <w:r>
        <w:rPr>
          <w:sz w:val="48"/>
          <w:szCs w:val="48"/>
        </w:rPr>
        <w:fldChar w:fldCharType="begin"/>
      </w:r>
      <w:r>
        <w:rPr>
          <w:sz w:val="48"/>
          <w:szCs w:val="48"/>
        </w:rPr>
        <w:instrText xml:space="preserve"> SEQ MTChap \r 1 \h \* MERGEFORMAT </w:instrText>
      </w:r>
      <w:r>
        <w:rPr>
          <w:sz w:val="48"/>
          <w:szCs w:val="48"/>
        </w:rPr>
        <w:fldChar w:fldCharType="end"/>
      </w:r>
      <w:r>
        <w:rPr>
          <w:sz w:val="48"/>
          <w:szCs w:val="48"/>
        </w:rPr>
        <w:fldChar w:fldCharType="end"/>
      </w:r>
      <w:r>
        <w:rPr>
          <w:sz w:val="48"/>
          <w:szCs w:val="48"/>
        </w:rPr>
        <w:t>Conical Coordinates for Elliptical Orbits</w:t>
      </w:r>
    </w:p>
    <w:p w14:paraId="30E5A43F" w14:textId="77777777" w:rsidR="005F4EA2" w:rsidRDefault="005F4EA2" w:rsidP="00F565BA">
      <w:pPr>
        <w:jc w:val="center"/>
        <w:rPr>
          <w:sz w:val="32"/>
          <w:szCs w:val="32"/>
        </w:rPr>
      </w:pPr>
    </w:p>
    <w:p w14:paraId="4F6B6634" w14:textId="25D67F7D" w:rsidR="00F565BA" w:rsidRPr="006B42CE" w:rsidRDefault="00564EC3" w:rsidP="00F565BA">
      <w:pPr>
        <w:jc w:val="center"/>
        <w:rPr>
          <w:sz w:val="32"/>
          <w:szCs w:val="32"/>
        </w:rPr>
      </w:pPr>
      <w:r>
        <w:rPr>
          <w:sz w:val="32"/>
          <w:szCs w:val="32"/>
        </w:rPr>
        <w:t>Douglas H. May</w:t>
      </w:r>
      <w:r>
        <w:rPr>
          <w:sz w:val="32"/>
          <w:szCs w:val="32"/>
          <w:vertAlign w:val="superscript"/>
        </w:rPr>
        <w:footnoteReference w:id="1"/>
      </w:r>
    </w:p>
    <w:p w14:paraId="663CBCEB" w14:textId="77777777" w:rsidR="00F565BA" w:rsidRPr="006B42CE" w:rsidRDefault="00564EC3" w:rsidP="00F565BA">
      <w:pPr>
        <w:spacing w:after="240"/>
        <w:jc w:val="center"/>
        <w:rPr>
          <w:i/>
          <w:sz w:val="24"/>
          <w:szCs w:val="24"/>
        </w:rPr>
      </w:pPr>
      <w:r>
        <w:rPr>
          <w:i/>
          <w:sz w:val="24"/>
          <w:szCs w:val="24"/>
        </w:rPr>
        <w:t>University of Arizona, Tucson, Arizona, 85721, USA</w:t>
      </w:r>
    </w:p>
    <w:p w14:paraId="504F8D1F" w14:textId="22934A25" w:rsidR="00D92AAD" w:rsidRPr="00D92AAD" w:rsidRDefault="00EF0103" w:rsidP="0019199E">
      <w:pPr>
        <w:keepNext/>
        <w:tabs>
          <w:tab w:val="num" w:pos="180"/>
        </w:tabs>
        <w:spacing w:before="240" w:after="60"/>
        <w:ind w:left="720" w:right="720"/>
        <w:outlineLvl w:val="0"/>
        <w:rPr>
          <w:b/>
          <w:kern w:val="32"/>
          <w:sz w:val="22"/>
        </w:rPr>
      </w:pPr>
      <w:r>
        <w:t xml:space="preserve">     Two-body orbital motion is analyzed within a three-dimensional conical reference frame in which the center of the gravitational field is within the cone volume and the apex angle is fixed at 90 degrees. In this frame the satellite position is characterized by slant height </w:t>
      </w:r>
      <w:r>
        <w:rPr>
          <w:rStyle w:val="Emphasis"/>
        </w:rPr>
        <w:t>R</w:t>
      </w:r>
      <w:r>
        <w:t xml:space="preserve"> along the cone surface in addition to the classical radial distance </w:t>
      </w:r>
      <w:r>
        <w:rPr>
          <w:rStyle w:val="Emphasis"/>
        </w:rPr>
        <w:t>r</w:t>
      </w:r>
      <w:r>
        <w:t xml:space="preserve">. The constraint of the cone half-angle being 45 degrees gives a line along the angular momentum vector to the cone apex with the magnitude of </w:t>
      </w:r>
      <m:oMath>
        <m:rad>
          <m:radPr>
            <m:degHide m:val="1"/>
            <m:ctrlPr>
              <w:rPr>
                <w:rFonts w:ascii="Cambria Math" w:hAnsi="Cambria Math"/>
                <w:i/>
              </w:rPr>
            </m:ctrlPr>
          </m:radPr>
          <m:deg/>
          <m:e>
            <m:r>
              <w:rPr>
                <w:rFonts w:ascii="Cambria Math" w:hAnsi="Cambria Math"/>
              </w:rPr>
              <m:t>ap</m:t>
            </m:r>
          </m:e>
        </m:rad>
        <m:r>
          <w:rPr>
            <w:rFonts w:ascii="Cambria Math" w:hAnsi="Cambria Math"/>
          </w:rPr>
          <m:t xml:space="preserve"> </m:t>
        </m:r>
      </m:oMath>
      <w:r>
        <w:t xml:space="preserve">, where </w:t>
      </w:r>
      <w:r>
        <w:rPr>
          <w:rStyle w:val="Emphasis"/>
        </w:rPr>
        <w:t>a</w:t>
      </w:r>
      <w:r>
        <w:t xml:space="preserve"> is the semi-major axis and </w:t>
      </w:r>
      <w:r>
        <w:rPr>
          <w:rStyle w:val="Emphasis"/>
        </w:rPr>
        <w:t>p</w:t>
      </w:r>
      <w:r>
        <w:t xml:space="preserve"> is the semi parameter. Three results are developed. First, the tilt angle </w:t>
      </w:r>
      <w:r>
        <w:rPr>
          <w:i/>
          <w:iCs/>
        </w:rPr>
        <w:t>Φ</w:t>
      </w:r>
      <w:r>
        <w:t xml:space="preserve">ₕ of the orbital plane relative to the cone axis satisfies sin(2Φₕ) = </w:t>
      </w:r>
      <w:r>
        <w:rPr>
          <w:rStyle w:val="Emphasis"/>
        </w:rPr>
        <w:t>e</w:t>
      </w:r>
      <w:r>
        <w:t xml:space="preserve">, providing a direct geometric encoding of eccentricity that is intrinsic to the frame and requires no reference to the orbit. Second, applying Gauss's law for gravitation to the conical surface yields a logarithmic flux integral that is shown to be equivalent pointwise to Kepler's equation through the eccentric anomaly </w:t>
      </w:r>
      <w:r>
        <w:rPr>
          <w:rStyle w:val="Emphasis"/>
        </w:rPr>
        <w:t>E</w:t>
      </w:r>
      <w:r>
        <w:t>, establishing a three-dimensional geometric interpretation of that classical result. Third, t</w:t>
      </w:r>
      <w:r>
        <w:rPr>
          <w:color w:val="000000"/>
        </w:rPr>
        <w:t>he logarithmic structure allows for a Newton-Raphson positioning method with dual convergence tolerances for both the Kepler residual and the position variable, offering geometric consistency and balanced numerical resolution throughout the orbit. This is especially useful for high-eccentricity cases.</w:t>
      </w:r>
    </w:p>
    <w:p w14:paraId="015E31D5" w14:textId="0719E1A4" w:rsidR="00F565BA" w:rsidRPr="00F565BA" w:rsidRDefault="00F565BA" w:rsidP="00F565BA">
      <w:pPr>
        <w:keepNext/>
        <w:numPr>
          <w:ilvl w:val="0"/>
          <w:numId w:val="2"/>
        </w:numPr>
        <w:tabs>
          <w:tab w:val="num" w:pos="180"/>
        </w:tabs>
        <w:spacing w:before="240" w:after="60"/>
        <w:ind w:left="180" w:hanging="180"/>
        <w:jc w:val="center"/>
        <w:outlineLvl w:val="0"/>
        <w:rPr>
          <w:b/>
          <w:kern w:val="32"/>
          <w:sz w:val="22"/>
        </w:rPr>
      </w:pPr>
      <w:r>
        <w:rPr>
          <w:b/>
          <w:kern w:val="32"/>
          <w:sz w:val="22"/>
        </w:rPr>
        <w:t>Nomenclature</w:t>
      </w:r>
    </w:p>
    <w:p w14:paraId="15AA6CD5" w14:textId="0AC88BBC" w:rsidR="00CC28CD" w:rsidRPr="00F315B2" w:rsidRDefault="00AB48A3" w:rsidP="00CC28CD">
      <w:pPr>
        <w:widowControl w:val="0"/>
        <w:tabs>
          <w:tab w:val="left" w:pos="630"/>
          <w:tab w:val="left" w:pos="1152"/>
        </w:tabs>
      </w:pPr>
      <w:bookmarkStart w:id="0" w:name="_Hlk195704732"/>
      <w:r>
        <w:rPr>
          <w:i/>
          <w:iCs/>
        </w:rPr>
        <w:t>A, F, P</w:t>
      </w:r>
      <w:r>
        <w:tab/>
        <w:t>=</w:t>
      </w:r>
      <w:r>
        <w:tab/>
        <w:t>orbit apoapsis, ellipse prime focus, periapsis</w:t>
      </w:r>
      <w:r>
        <w:tab/>
      </w:r>
      <w:r>
        <w:tab/>
      </w:r>
      <w:r>
        <w:tab/>
      </w:r>
      <w:r>
        <w:tab/>
      </w:r>
      <w:r>
        <w:tab/>
      </w:r>
      <w:r>
        <w:tab/>
      </w:r>
      <w:r>
        <w:tab/>
      </w:r>
      <w:r>
        <w:tab/>
      </w:r>
      <w:r>
        <w:tab/>
      </w:r>
      <w:r>
        <w:tab/>
      </w:r>
      <w:r>
        <w:tab/>
      </w:r>
      <w:r>
        <w:tab/>
      </w:r>
      <w:r>
        <w:tab/>
      </w:r>
      <w:r>
        <w:tab/>
      </w:r>
      <w:r>
        <w:tab/>
      </w:r>
    </w:p>
    <w:p w14:paraId="461DE08D" w14:textId="77777777" w:rsidR="00CC28CD" w:rsidRDefault="00CC28CD" w:rsidP="00CC28CD">
      <w:pPr>
        <w:widowControl w:val="0"/>
        <w:tabs>
          <w:tab w:val="left" w:pos="630"/>
          <w:tab w:val="left" w:pos="1152"/>
        </w:tabs>
      </w:pPr>
      <w:r>
        <w:rPr>
          <w:i/>
          <w:iCs/>
        </w:rPr>
        <w:t>S</w:t>
      </w:r>
      <w:r>
        <w:tab/>
        <w:t>=</w:t>
      </w:r>
      <w:r>
        <w:tab/>
        <w:t>satellite position</w:t>
      </w:r>
      <w:r>
        <w:tab/>
      </w:r>
    </w:p>
    <w:p w14:paraId="033C56E8" w14:textId="77777777" w:rsidR="00AB48A3" w:rsidRPr="00C265D4" w:rsidRDefault="00AB48A3" w:rsidP="00AB48A3">
      <w:pPr>
        <w:tabs>
          <w:tab w:val="left" w:pos="450"/>
        </w:tabs>
      </w:pPr>
      <w:r>
        <w:rPr>
          <w:i/>
          <w:iCs/>
        </w:rPr>
        <w:t>E</w:t>
      </w:r>
      <w:r>
        <w:tab/>
      </w:r>
      <w:r>
        <w:tab/>
        <w:t xml:space="preserve"> =</w:t>
      </w:r>
      <w:r>
        <w:tab/>
      </w:r>
      <w:r>
        <w:tab/>
        <w:t>eccentric anomaly</w:t>
      </w:r>
    </w:p>
    <w:p w14:paraId="3CDEBDA0" w14:textId="77777777" w:rsidR="00AB48A3" w:rsidRPr="00C265D4" w:rsidRDefault="00AB48A3" w:rsidP="00AB48A3">
      <w:pPr>
        <w:tabs>
          <w:tab w:val="left" w:pos="288"/>
        </w:tabs>
        <w:rPr>
          <w:rFonts w:eastAsia="Times"/>
        </w:rPr>
      </w:pPr>
      <w:bookmarkStart w:id="1" w:name="_Hlk89170576"/>
      <w:r>
        <w:rPr>
          <w:i/>
          <w:iCs/>
        </w:rPr>
        <w:t>R, R’</w:t>
      </w:r>
      <w:r>
        <w:tab/>
      </w:r>
      <w:r>
        <w:rPr>
          <w:rFonts w:eastAsia="Times"/>
        </w:rPr>
        <w:t xml:space="preserve"> =</w:t>
      </w:r>
      <w:r>
        <w:rPr>
          <w:rFonts w:eastAsia="Times"/>
        </w:rPr>
        <w:tab/>
      </w:r>
      <w:r>
        <w:rPr>
          <w:rFonts w:eastAsia="Times"/>
        </w:rPr>
        <w:tab/>
        <w:t xml:space="preserve">cone slant </w:t>
      </w:r>
      <w:bookmarkEnd w:id="1"/>
      <w:r>
        <w:rPr>
          <w:rFonts w:eastAsia="Times"/>
        </w:rPr>
        <w:t xml:space="preserve">height, </w:t>
      </w:r>
      <w:r>
        <w:t>local conic circumference radius</w:t>
      </w:r>
    </w:p>
    <w:p w14:paraId="481D7792" w14:textId="77777777" w:rsidR="00CC28CD" w:rsidRDefault="00CC28CD" w:rsidP="00CC28CD">
      <w:pPr>
        <w:widowControl w:val="0"/>
        <w:tabs>
          <w:tab w:val="left" w:pos="630"/>
          <w:tab w:val="left" w:pos="1152"/>
        </w:tabs>
      </w:pPr>
      <w:r>
        <w:rPr>
          <w:i/>
          <w:iCs/>
          <w:sz w:val="22"/>
          <w:szCs w:val="22"/>
        </w:rPr>
        <w:t>a</w:t>
      </w:r>
      <w:r>
        <w:tab/>
        <w:t>=</w:t>
      </w:r>
      <w:r>
        <w:tab/>
        <w:t>semi-major axis</w:t>
      </w:r>
      <w:r>
        <w:tab/>
      </w:r>
    </w:p>
    <w:p w14:paraId="2D8101B8" w14:textId="77777777" w:rsidR="00CC28CD" w:rsidRDefault="00CC28CD" w:rsidP="00CC28CD">
      <w:pPr>
        <w:widowControl w:val="0"/>
      </w:pPr>
      <w:r>
        <w:rPr>
          <w:i/>
          <w:iCs/>
          <w:sz w:val="22"/>
          <w:szCs w:val="22"/>
        </w:rPr>
        <w:t>e</w:t>
      </w:r>
      <w:r>
        <w:tab/>
      </w:r>
      <w:r>
        <w:tab/>
        <w:t xml:space="preserve"> =</w:t>
      </w:r>
      <w:r>
        <w:tab/>
      </w:r>
      <w:r>
        <w:tab/>
        <w:t>eccentricity</w:t>
      </w:r>
      <w:r>
        <w:tab/>
      </w:r>
      <w:r>
        <w:tab/>
      </w:r>
    </w:p>
    <w:p w14:paraId="492BB5FA" w14:textId="77777777" w:rsidR="00CC28CD" w:rsidRDefault="00CC28CD" w:rsidP="00CC28CD">
      <w:pPr>
        <w:tabs>
          <w:tab w:val="left" w:pos="630"/>
        </w:tabs>
      </w:pPr>
      <w:r>
        <w:rPr>
          <w:i/>
          <w:iCs/>
          <w:sz w:val="22"/>
          <w:szCs w:val="22"/>
        </w:rPr>
        <w:t>h</w:t>
      </w:r>
      <w:r>
        <w:tab/>
        <w:t>=</w:t>
      </w:r>
      <w:r>
        <w:tab/>
      </w:r>
      <w:r>
        <w:tab/>
        <w:t>specific angular momentum</w:t>
      </w:r>
    </w:p>
    <w:p w14:paraId="2CF11243" w14:textId="77777777" w:rsidR="00CC28CD" w:rsidRDefault="00CC28CD" w:rsidP="00CC28CD">
      <w:pPr>
        <w:widowControl w:val="0"/>
        <w:tabs>
          <w:tab w:val="left" w:pos="630"/>
          <w:tab w:val="left" w:pos="1152"/>
        </w:tabs>
        <w:rPr>
          <w:rFonts w:eastAsia="Times"/>
        </w:rPr>
      </w:pPr>
      <w:r>
        <w:rPr>
          <w:i/>
          <w:iCs/>
          <w:sz w:val="22"/>
          <w:szCs w:val="22"/>
        </w:rPr>
        <w:t>p</w:t>
      </w:r>
      <w:r>
        <w:rPr>
          <w:rFonts w:eastAsia="Times"/>
        </w:rPr>
        <w:tab/>
        <w:t>=</w:t>
      </w:r>
      <w:r>
        <w:rPr>
          <w:rFonts w:eastAsia="Times"/>
        </w:rPr>
        <w:tab/>
        <w:t>semi-parameter, semi-latus rectum</w:t>
      </w:r>
    </w:p>
    <w:p w14:paraId="37565108" w14:textId="77777777" w:rsidR="00CC28CD" w:rsidRDefault="00CC28CD" w:rsidP="00CC28CD">
      <w:pPr>
        <w:widowControl w:val="0"/>
        <w:tabs>
          <w:tab w:val="left" w:pos="630"/>
          <w:tab w:val="left" w:pos="1152"/>
        </w:tabs>
        <w:rPr>
          <w:rFonts w:eastAsia="Times"/>
        </w:rPr>
      </w:pPr>
      <w:r>
        <w:rPr>
          <w:i/>
          <w:iCs/>
          <w:sz w:val="22"/>
          <w:szCs w:val="22"/>
        </w:rPr>
        <w:t>r</w:t>
      </w:r>
      <w:r>
        <w:rPr>
          <w:rFonts w:eastAsia="Times"/>
        </w:rPr>
        <w:tab/>
        <w:t>=</w:t>
      </w:r>
      <w:r>
        <w:rPr>
          <w:rFonts w:eastAsia="Times"/>
        </w:rPr>
        <w:tab/>
        <w:t>radius, radius vector</w:t>
      </w:r>
    </w:p>
    <w:p w14:paraId="056F7EB2" w14:textId="77777777" w:rsidR="00CC28CD" w:rsidRDefault="00CC28CD" w:rsidP="00CC28CD">
      <w:pPr>
        <w:widowControl w:val="0"/>
        <w:tabs>
          <w:tab w:val="left" w:pos="630"/>
        </w:tabs>
        <w:rPr>
          <w:rFonts w:eastAsia="Times"/>
        </w:rPr>
      </w:pPr>
      <w:r>
        <w:rPr>
          <w:i/>
          <w:iCs/>
          <w:sz w:val="22"/>
          <w:szCs w:val="22"/>
        </w:rPr>
        <w:t>t</w:t>
      </w:r>
      <w:r>
        <w:rPr>
          <w:rFonts w:eastAsia="Times"/>
        </w:rPr>
        <w:tab/>
      </w:r>
      <w:bookmarkStart w:id="2" w:name="_Hlk58954161"/>
      <w:r>
        <w:rPr>
          <w:rFonts w:eastAsia="Times"/>
        </w:rPr>
        <w:t>=</w:t>
      </w:r>
      <w:bookmarkEnd w:id="2"/>
      <w:r>
        <w:rPr>
          <w:rFonts w:eastAsia="Times"/>
        </w:rPr>
        <w:tab/>
      </w:r>
      <w:r>
        <w:rPr>
          <w:rFonts w:eastAsia="Times"/>
        </w:rPr>
        <w:tab/>
        <w:t>time</w:t>
      </w:r>
    </w:p>
    <w:p w14:paraId="65E5739F" w14:textId="2912C29E" w:rsidR="00CC28CD" w:rsidRDefault="00C265D4" w:rsidP="00CC28CD">
      <w:pPr>
        <w:tabs>
          <w:tab w:val="left" w:pos="288"/>
        </w:tabs>
        <w:rPr>
          <w:rFonts w:eastAsia="Times"/>
        </w:rPr>
      </w:pPr>
      <w:r>
        <w:rPr>
          <w:i/>
        </w:rPr>
        <w:t>Φ</w:t>
      </w:r>
      <w:r>
        <w:rPr>
          <w:rFonts w:eastAsia="Times"/>
          <w:sz w:val="18"/>
          <w:szCs w:val="18"/>
        </w:rPr>
        <w:tab/>
      </w:r>
      <w:r>
        <w:rPr>
          <w:rFonts w:eastAsia="Times"/>
        </w:rPr>
        <w:t xml:space="preserve">   </w:t>
      </w:r>
      <w:r>
        <w:rPr>
          <w:rFonts w:eastAsia="Times"/>
        </w:rPr>
        <w:tab/>
        <w:t xml:space="preserve"> =</w:t>
      </w:r>
      <w:r>
        <w:rPr>
          <w:rFonts w:eastAsia="Times"/>
        </w:rPr>
        <w:tab/>
      </w:r>
      <w:r>
        <w:rPr>
          <w:rFonts w:eastAsia="Times"/>
        </w:rPr>
        <w:tab/>
        <w:t xml:space="preserve">spherical and conic frame angle </w:t>
      </w:r>
      <w:r w:rsidR="0042406B">
        <w:rPr>
          <w:rFonts w:eastAsia="Times"/>
        </w:rPr>
        <w:t>from the z axis</w:t>
      </w:r>
    </w:p>
    <w:p w14:paraId="2E9181B7" w14:textId="1F7A70E2" w:rsidR="00BC08FE" w:rsidRPr="00BC08FE" w:rsidRDefault="00BC245D" w:rsidP="00CC28CD">
      <w:pPr>
        <w:tabs>
          <w:tab w:val="left" w:pos="288"/>
        </w:tabs>
        <w:rPr>
          <w:rFonts w:ascii="Symbol" w:eastAsia="Times" w:hAnsi="Symbol"/>
        </w:rPr>
      </w:pPr>
      <w:r>
        <w:rPr>
          <w:i/>
          <w:iCs/>
        </w:rPr>
        <w:t>Θ</w:t>
      </w:r>
      <w:r>
        <w:rPr>
          <w:rFonts w:eastAsia="Times"/>
        </w:rPr>
        <w:tab/>
        <w:t xml:space="preserve">   </w:t>
      </w:r>
      <w:r>
        <w:rPr>
          <w:rFonts w:eastAsia="Times"/>
        </w:rPr>
        <w:tab/>
        <w:t xml:space="preserve"> =</w:t>
      </w:r>
      <w:r>
        <w:tab/>
      </w:r>
      <w:r>
        <w:tab/>
      </w:r>
      <w:r>
        <w:rPr>
          <w:rFonts w:eastAsia="Times"/>
        </w:rPr>
        <w:t>spherical and conic frame angle</w:t>
      </w:r>
      <w:r w:rsidR="0042406B">
        <w:rPr>
          <w:rFonts w:eastAsia="Times"/>
        </w:rPr>
        <w:t xml:space="preserve"> in the x–y plane</w:t>
      </w:r>
    </w:p>
    <w:p w14:paraId="1F2A12FD" w14:textId="77777777" w:rsidR="00CC28CD" w:rsidRDefault="00CC28CD" w:rsidP="00CC28CD">
      <w:pPr>
        <w:tabs>
          <w:tab w:val="left" w:pos="288"/>
        </w:tabs>
        <w:rPr>
          <w:rFonts w:eastAsia="Times"/>
        </w:rPr>
      </w:pPr>
      <w:r>
        <w:rPr>
          <w:i/>
        </w:rPr>
        <w:t>θ</w:t>
      </w:r>
      <w:r>
        <w:rPr>
          <w:rFonts w:eastAsia="Times"/>
        </w:rPr>
        <w:tab/>
        <w:t xml:space="preserve">   </w:t>
      </w:r>
      <w:r>
        <w:rPr>
          <w:rFonts w:eastAsia="Times"/>
        </w:rPr>
        <w:tab/>
        <w:t xml:space="preserve"> =    </w:t>
      </w:r>
      <w:r>
        <w:rPr>
          <w:rFonts w:eastAsia="Times"/>
        </w:rPr>
        <w:tab/>
        <w:t>true anomaly</w:t>
      </w:r>
    </w:p>
    <w:p w14:paraId="2C272EA8" w14:textId="77777777" w:rsidR="00BC08FE" w:rsidRDefault="00BC08FE" w:rsidP="00BC08FE">
      <w:pPr>
        <w:tabs>
          <w:tab w:val="left" w:pos="288"/>
        </w:tabs>
        <w:rPr>
          <w:rFonts w:eastAsia="Times"/>
        </w:rPr>
      </w:pPr>
      <w:bookmarkStart w:id="3" w:name="_Hlk89169725"/>
      <w:r>
        <w:rPr>
          <w:i/>
        </w:rPr>
        <w:t>μ</w:t>
      </w:r>
      <w:r>
        <w:rPr>
          <w:rFonts w:eastAsia="Times"/>
        </w:rPr>
        <w:tab/>
        <w:t xml:space="preserve">   </w:t>
      </w:r>
      <w:r>
        <w:rPr>
          <w:rFonts w:eastAsia="Times"/>
        </w:rPr>
        <w:tab/>
        <w:t xml:space="preserve"> =</w:t>
      </w:r>
      <w:bookmarkEnd w:id="3"/>
      <w:r>
        <w:rPr>
          <w:rFonts w:eastAsia="Times"/>
        </w:rPr>
        <w:tab/>
      </w:r>
      <w:r>
        <w:rPr>
          <w:rFonts w:eastAsia="Times"/>
        </w:rPr>
        <w:tab/>
        <w:t>unique gravitational constant for the primary body</w:t>
      </w:r>
    </w:p>
    <w:p w14:paraId="228B7B51" w14:textId="06F48196" w:rsidR="007247BF" w:rsidRDefault="00B726B7" w:rsidP="00BC08FE">
      <w:pPr>
        <w:tabs>
          <w:tab w:val="left" w:pos="288"/>
        </w:tabs>
        <w:rPr>
          <w:rFonts w:eastAsia="Times"/>
        </w:rPr>
      </w:pPr>
      <w:r>
        <w:rPr>
          <w:i/>
          <w:iCs/>
        </w:rPr>
        <w:t>Φ</w:t>
      </w:r>
      <w:r>
        <w:t>ₕ</w:t>
      </w:r>
      <w:r>
        <w:rPr>
          <w:rFonts w:eastAsia="Times"/>
        </w:rPr>
        <w:tab/>
        <w:t xml:space="preserve">   </w:t>
      </w:r>
      <w:r>
        <w:rPr>
          <w:rFonts w:eastAsia="Times"/>
        </w:rPr>
        <w:tab/>
        <w:t xml:space="preserve"> =</w:t>
      </w:r>
      <w:r>
        <w:rPr>
          <w:rFonts w:eastAsia="Times"/>
        </w:rPr>
        <w:tab/>
      </w:r>
      <w:r>
        <w:rPr>
          <w:rFonts w:eastAsia="Times"/>
        </w:rPr>
        <w:tab/>
        <w:t>orbital plane tilt angle from cone axis, sin(2Φh) = e</w:t>
      </w:r>
    </w:p>
    <w:p w14:paraId="026853CA" w14:textId="1C80D483" w:rsidR="007247BF" w:rsidRDefault="00B726B7" w:rsidP="00BC08FE">
      <w:pPr>
        <w:tabs>
          <w:tab w:val="left" w:pos="288"/>
        </w:tabs>
        <w:rPr>
          <w:rFonts w:eastAsia="Times"/>
        </w:rPr>
      </w:pPr>
      <w:proofErr w:type="spellStart"/>
      <w:r>
        <w:rPr>
          <w:i/>
          <w:iCs/>
        </w:rPr>
        <w:t>Φ</w:t>
      </w:r>
      <w:r>
        <w:rPr>
          <w:sz w:val="14"/>
          <w:szCs w:val="14"/>
        </w:rPr>
        <w:t>c</w:t>
      </w:r>
      <w:proofErr w:type="spellEnd"/>
      <w:r>
        <w:rPr>
          <w:rFonts w:eastAsia="Times"/>
        </w:rPr>
        <w:tab/>
        <w:t xml:space="preserve">   </w:t>
      </w:r>
      <w:r>
        <w:rPr>
          <w:rFonts w:eastAsia="Times"/>
        </w:rPr>
        <w:tab/>
        <w:t xml:space="preserve"> =</w:t>
      </w:r>
      <w:r>
        <w:rPr>
          <w:rFonts w:eastAsia="Times"/>
        </w:rPr>
        <w:tab/>
      </w:r>
      <w:r>
        <w:rPr>
          <w:rFonts w:eastAsia="Times"/>
        </w:rPr>
        <w:tab/>
        <w:t>spherical cap half-angle</w:t>
      </w:r>
    </w:p>
    <w:p w14:paraId="32D25530" w14:textId="7479DAB5" w:rsidR="007247BF" w:rsidRDefault="00B726B7" w:rsidP="00BC08FE">
      <w:pPr>
        <w:tabs>
          <w:tab w:val="left" w:pos="288"/>
        </w:tabs>
        <w:rPr>
          <w:rFonts w:eastAsia="Times"/>
        </w:rPr>
      </w:pPr>
      <w:r>
        <w:rPr>
          <w:i/>
          <w:iCs/>
          <w:sz w:val="22"/>
          <w:szCs w:val="22"/>
        </w:rPr>
        <w:t>Ω</w:t>
      </w:r>
      <w:r>
        <w:rPr>
          <w:rFonts w:eastAsia="Times"/>
        </w:rPr>
        <w:tab/>
        <w:t xml:space="preserve">   </w:t>
      </w:r>
      <w:r>
        <w:rPr>
          <w:rFonts w:eastAsia="Times"/>
        </w:rPr>
        <w:tab/>
        <w:t xml:space="preserve"> =</w:t>
      </w:r>
      <w:r>
        <w:rPr>
          <w:rFonts w:eastAsia="Times"/>
        </w:rPr>
        <w:tab/>
      </w:r>
      <w:r>
        <w:rPr>
          <w:rFonts w:eastAsia="Times"/>
        </w:rPr>
        <w:tab/>
        <w:t>solid angle subtended by conic sector (steradians)</w:t>
      </w:r>
    </w:p>
    <w:p w14:paraId="06BBE7E6" w14:textId="303CDDD5" w:rsidR="007247BF" w:rsidRDefault="00C36D29" w:rsidP="00BC08FE">
      <w:pPr>
        <w:tabs>
          <w:tab w:val="left" w:pos="288"/>
        </w:tabs>
        <w:rPr>
          <w:rFonts w:eastAsia="Times"/>
        </w:rPr>
      </w:pPr>
      <w:r>
        <w:rPr>
          <w:i/>
          <w:iCs/>
        </w:rPr>
        <w:t>Ψ</w:t>
      </w:r>
      <w:r>
        <w:rPr>
          <w:rFonts w:eastAsia="Times"/>
        </w:rPr>
        <w:tab/>
        <w:t xml:space="preserve">   </w:t>
      </w:r>
      <w:r>
        <w:rPr>
          <w:rFonts w:eastAsia="Times"/>
        </w:rPr>
        <w:tab/>
        <w:t xml:space="preserve"> =</w:t>
      </w:r>
      <w:r>
        <w:rPr>
          <w:rFonts w:eastAsia="Times"/>
        </w:rPr>
        <w:tab/>
      </w:r>
      <w:r>
        <w:rPr>
          <w:rFonts w:eastAsia="Times"/>
        </w:rPr>
        <w:tab/>
        <w:t>gravitational flux through a surface</w:t>
      </w:r>
    </w:p>
    <w:p w14:paraId="57DF7FFE" w14:textId="02DCE31F" w:rsidR="007247BF" w:rsidRDefault="007247BF" w:rsidP="00BC08FE">
      <w:pPr>
        <w:tabs>
          <w:tab w:val="left" w:pos="288"/>
        </w:tabs>
        <w:rPr>
          <w:rFonts w:eastAsia="Times"/>
        </w:rPr>
      </w:pPr>
      <w:r>
        <w:rPr>
          <w:rFonts w:eastAsia="Times"/>
          <w:i/>
          <w:iCs/>
        </w:rPr>
        <w:t>M</w:t>
      </w:r>
      <w:r>
        <w:rPr>
          <w:rFonts w:eastAsia="Times"/>
        </w:rPr>
        <w:tab/>
        <w:t xml:space="preserve">   </w:t>
      </w:r>
      <w:r>
        <w:rPr>
          <w:rFonts w:eastAsia="Times"/>
        </w:rPr>
        <w:tab/>
        <w:t xml:space="preserve"> =</w:t>
      </w:r>
      <w:r>
        <w:rPr>
          <w:rFonts w:eastAsia="Times"/>
        </w:rPr>
        <w:tab/>
      </w:r>
      <w:r>
        <w:rPr>
          <w:rFonts w:eastAsia="Times"/>
        </w:rPr>
        <w:tab/>
        <w:t>mean anomaly</w:t>
      </w:r>
    </w:p>
    <w:p w14:paraId="4AA3ED8E" w14:textId="754A52A6" w:rsidR="007247BF" w:rsidRDefault="007247BF" w:rsidP="00BC08FE">
      <w:pPr>
        <w:tabs>
          <w:tab w:val="left" w:pos="288"/>
        </w:tabs>
        <w:rPr>
          <w:rFonts w:eastAsia="Times"/>
        </w:rPr>
      </w:pPr>
      <w:r>
        <w:rPr>
          <w:rFonts w:eastAsia="Times"/>
          <w:i/>
          <w:iCs/>
        </w:rPr>
        <w:t>λ</w:t>
      </w:r>
      <w:r>
        <w:rPr>
          <w:rFonts w:eastAsia="Times"/>
        </w:rPr>
        <w:tab/>
        <w:t xml:space="preserve">   </w:t>
      </w:r>
      <w:r>
        <w:rPr>
          <w:rFonts w:eastAsia="Times"/>
        </w:rPr>
        <w:tab/>
        <w:t xml:space="preserve"> =</w:t>
      </w:r>
      <w:r>
        <w:rPr>
          <w:rFonts w:eastAsia="Times"/>
        </w:rPr>
        <w:tab/>
      </w:r>
      <w:r>
        <w:rPr>
          <w:rFonts w:eastAsia="Times"/>
        </w:rPr>
        <w:tab/>
        <w:t>logarithmic position variable</w:t>
      </w:r>
    </w:p>
    <w:p w14:paraId="78052B53" w14:textId="77777777" w:rsidR="007247BF" w:rsidRPr="007247BF" w:rsidRDefault="007247BF" w:rsidP="007247BF">
      <w:pPr>
        <w:tabs>
          <w:tab w:val="left" w:pos="288"/>
        </w:tabs>
        <w:rPr>
          <w:rFonts w:eastAsia="Times"/>
        </w:rPr>
      </w:pPr>
      <w:r>
        <w:rPr>
          <w:rFonts w:eastAsia="Times"/>
          <w:b/>
          <w:bCs/>
          <w:i/>
          <w:iCs/>
        </w:rPr>
        <w:t>g</w:t>
      </w:r>
      <w:r>
        <w:rPr>
          <w:rFonts w:eastAsia="Times"/>
        </w:rPr>
        <w:tab/>
        <w:t xml:space="preserve">   </w:t>
      </w:r>
      <w:r>
        <w:rPr>
          <w:rFonts w:eastAsia="Times"/>
        </w:rPr>
        <w:tab/>
        <w:t xml:space="preserve"> =</w:t>
      </w:r>
      <w:r>
        <w:rPr>
          <w:rFonts w:eastAsia="Times"/>
        </w:rPr>
        <w:tab/>
      </w:r>
      <w:r>
        <w:rPr>
          <w:rFonts w:eastAsia="Times"/>
        </w:rPr>
        <w:tab/>
        <w:t>gravitational acceleration vector at Gaussian surface</w:t>
      </w:r>
    </w:p>
    <w:p w14:paraId="795C010A" w14:textId="77777777" w:rsidR="007247BF" w:rsidRDefault="007247BF" w:rsidP="007247BF">
      <w:pPr>
        <w:tabs>
          <w:tab w:val="left" w:pos="288"/>
        </w:tabs>
        <w:rPr>
          <w:rFonts w:eastAsia="Times"/>
        </w:rPr>
      </w:pPr>
      <w:r>
        <w:rPr>
          <w:rFonts w:eastAsia="Times"/>
          <w:b/>
          <w:bCs/>
          <w:i/>
          <w:iCs/>
        </w:rPr>
        <w:t>n</w:t>
      </w:r>
      <w:r>
        <w:rPr>
          <w:rFonts w:eastAsia="Times"/>
        </w:rPr>
        <w:tab/>
        <w:t xml:space="preserve">   </w:t>
      </w:r>
      <w:r>
        <w:rPr>
          <w:rFonts w:eastAsia="Times"/>
        </w:rPr>
        <w:tab/>
        <w:t xml:space="preserve"> =</w:t>
      </w:r>
      <w:r>
        <w:rPr>
          <w:rFonts w:eastAsia="Times"/>
        </w:rPr>
        <w:tab/>
      </w:r>
      <w:r>
        <w:rPr>
          <w:rFonts w:eastAsia="Times"/>
        </w:rPr>
        <w:tab/>
        <w:t>outward unit normal on Gaussian surface</w:t>
      </w:r>
    </w:p>
    <w:p w14:paraId="1A2B3C4D" w14:textId="1A2B3C4E" w:rsidR="007247BF" w:rsidRDefault="007247BF" w:rsidP="00BC08FE">
      <w:pPr>
        <w:tabs>
          <w:tab w:val="left" w:pos="288"/>
        </w:tabs>
        <w:rPr>
          <w:rFonts w:eastAsia="Times"/>
        </w:rPr>
      </w:pPr>
      <w:proofErr w:type="spellStart"/>
      <w:r>
        <w:rPr>
          <w:rFonts w:eastAsia="Times"/>
          <w:i/>
          <w:iCs/>
        </w:rPr>
        <w:t>τ</w:t>
      </w:r>
      <w:r>
        <w:rPr>
          <w:rFonts w:eastAsia="Times"/>
          <w:i/>
          <w:iCs/>
          <w:vertAlign w:val="subscript"/>
        </w:rPr>
        <w:t>E</w:t>
      </w:r>
      <w:proofErr w:type="spellEnd"/>
      <w:r>
        <w:rPr>
          <w:rFonts w:eastAsia="Times"/>
        </w:rPr>
        <w:t xml:space="preserve">, </w:t>
      </w:r>
      <w:proofErr w:type="spellStart"/>
      <w:r>
        <w:rPr>
          <w:rFonts w:eastAsia="Times"/>
          <w:i/>
          <w:iCs/>
        </w:rPr>
        <w:t>τ</w:t>
      </w:r>
      <w:r>
        <w:rPr>
          <w:rFonts w:eastAsia="Times"/>
          <w:i/>
          <w:iCs/>
          <w:vertAlign w:val="subscript"/>
        </w:rPr>
        <w:t>λ</w:t>
      </w:r>
      <w:proofErr w:type="spellEnd"/>
      <w:r>
        <w:rPr>
          <w:rFonts w:eastAsia="Times"/>
        </w:rPr>
        <w:tab/>
        <w:t xml:space="preserve"> =</w:t>
      </w:r>
      <w:r>
        <w:rPr>
          <w:rFonts w:eastAsia="Times"/>
        </w:rPr>
        <w:tab/>
      </w:r>
      <w:r>
        <w:rPr>
          <w:rFonts w:eastAsia="Times"/>
        </w:rPr>
        <w:tab/>
        <w:t>convergence tolerances for Kepler residual and logarithmic position increment</w:t>
      </w:r>
    </w:p>
    <w:p w14:paraId="2945D6F7" w14:textId="77777777" w:rsidR="000C32B1" w:rsidRPr="007247BF" w:rsidRDefault="000C32B1" w:rsidP="007247BF">
      <w:pPr>
        <w:tabs>
          <w:tab w:val="left" w:pos="288"/>
        </w:tabs>
        <w:rPr>
          <w:rFonts w:eastAsia="Times"/>
        </w:rPr>
      </w:pPr>
    </w:p>
    <w:bookmarkEnd w:id="0"/>
    <w:p w14:paraId="5F4FEDDE" w14:textId="30E1D721" w:rsidR="009820B8" w:rsidRPr="00F565BA" w:rsidRDefault="009820B8" w:rsidP="009820B8">
      <w:pPr>
        <w:keepNext/>
        <w:numPr>
          <w:ilvl w:val="0"/>
          <w:numId w:val="2"/>
        </w:numPr>
        <w:tabs>
          <w:tab w:val="num" w:pos="180"/>
        </w:tabs>
        <w:spacing w:before="240" w:after="60"/>
        <w:ind w:left="180" w:hanging="180"/>
        <w:jc w:val="center"/>
        <w:outlineLvl w:val="0"/>
        <w:rPr>
          <w:b/>
          <w:kern w:val="32"/>
          <w:sz w:val="22"/>
        </w:rPr>
      </w:pPr>
      <w:r>
        <w:rPr>
          <w:b/>
          <w:kern w:val="32"/>
          <w:sz w:val="22"/>
        </w:rPr>
        <w:lastRenderedPageBreak/>
        <w:t>Introduction</w:t>
      </w:r>
    </w:p>
    <w:p w14:paraId="00E8696E" w14:textId="77777777" w:rsidR="009820B8" w:rsidRDefault="009820B8" w:rsidP="00EE7793">
      <w:pPr>
        <w:tabs>
          <w:tab w:val="left" w:pos="288"/>
        </w:tabs>
        <w:ind w:firstLine="288"/>
      </w:pPr>
    </w:p>
    <w:p w14:paraId="1F7C8D45" w14:textId="6F7DC52E" w:rsidR="00EE7793" w:rsidRPr="00026881" w:rsidRDefault="005034DF" w:rsidP="005034DF">
      <w:pPr>
        <w:tabs>
          <w:tab w:val="left" w:pos="288"/>
        </w:tabs>
        <w:ind w:firstLine="288"/>
      </w:pPr>
      <w:r>
        <w:rPr>
          <w:color w:val="000000"/>
        </w:rPr>
        <w:t xml:space="preserve">Since ancient Greek times, mathematicians and astronomers have studied conic sections. Apollonius of Perga systematically developed the geometry of ellipses, parabolas, and hyperbolas around 200 BC.[1] It wasn’t until 1609 that cone geometry was related to gravity and orbits </w:t>
      </w:r>
      <w:r>
        <w:t>when Kepler published his first law stating that planets orbit the sun on elliptical paths with the sun located at one focus. This relationship provided the basis for Kepler to match orbital data to planetary motion and publish his second law in the same year stating, "The line joining the planet to the sun sweeps out equal areas in equal times." His construction of a model gave the equation for position and time that remains important today. In 1619 Kepler published his third law which states, "The square of the period of a planet is proportional to the cube of its mean distance from the sun." These laws, combined with Newton's law of gravitation, establish the mathematical foundation for analyzing orbital motion in the plane of the orbit. [2, 3, 4]</w:t>
      </w:r>
    </w:p>
    <w:p w14:paraId="084456F4" w14:textId="0D7C5AD0" w:rsidR="00EE7793" w:rsidRPr="00CD53AA" w:rsidRDefault="00EE7793" w:rsidP="00EE7793">
      <w:pPr>
        <w:tabs>
          <w:tab w:val="left" w:pos="288"/>
        </w:tabs>
        <w:ind w:firstLine="288"/>
      </w:pPr>
      <w:r>
        <w:t xml:space="preserve">Kepler's equation relates orbital position to time through an auxiliary circle and the eccentric anomaly </w:t>
      </w:r>
      <w:r>
        <w:rPr>
          <w:i/>
          <w:iCs/>
        </w:rPr>
        <w:t>E</w:t>
      </w:r>
      <w:r>
        <w:t xml:space="preserve">. His transcendental equation requires an iterative numerical solution, as no closed-form algebraic expression exists for </w:t>
      </w:r>
      <w:r>
        <w:rPr>
          <w:i/>
          <w:iCs/>
        </w:rPr>
        <w:t>E</w:t>
      </w:r>
      <w:r>
        <w:t xml:space="preserve"> as a function of time. See Eq. (1). The traditional coordinate framework uses polar coordinates centered at the gravitational focus and treats orbital motion primarily as a planar phenomenon. This gives limited attention to how satellites interact with the three-dimensional nature of the gravitational field during their motion. [2, 3, 4]</w:t>
      </w:r>
    </w:p>
    <w:p w14:paraId="40C87BAC" w14:textId="49D70C07" w:rsidR="00A80132" w:rsidRDefault="002E02AD" w:rsidP="00981100">
      <w:pPr>
        <w:pStyle w:val="MTDisplayEquation"/>
      </w:pPr>
      <w:r>
        <w:rPr>
          <w:position w:val="-43"/>
        </w:rPr>
        <w:drawing>
          <wp:inline distT="0" distB="0" distL="0" distR="0" wp14:anchorId="59F55796" wp14:editId="07A71A72">
            <wp:extent cx="1076325" cy="387477"/>
            <wp:effectExtent l="0" t="0" r="0" b="0"/>
            <wp:docPr id="1" name="Picture 1" descr="{&quot;mathml&quot;:&quot;&lt;math style=\&quot;font-family:stix;font-size:16px;\&quot; xmlns=\&quot;http://www.w3.org/1998/Math/MathML\&quot;&gt;&lt;msqrt&gt;&lt;mfrac&gt;&lt;mi&gt;&amp;#x3BC;&lt;/mi&gt;&lt;msup&gt;&lt;mi&gt;a&lt;/mi&gt;&lt;mn&gt;3&lt;/mn&gt;&lt;/msup&gt;&lt;/mfrac&gt;&lt;/msqrt&gt;&lt;mi&gt;t&lt;/mi&gt;&lt;mo&gt;=&lt;/mo&gt;&lt;mi&gt;E&lt;/mi&gt;&lt;mo&gt;-&lt;/mo&gt;&lt;mi&gt;e&lt;/mi&gt;&lt;mo&gt;&amp;#xA0;&lt;/mo&gt;&lt;mi&gt;sin&lt;/mi&gt;&lt;mo&gt;&amp;#xA0;&lt;/mo&gt;&lt;mi&gt;E&lt;/mi&gt;&lt;/math&gt;&quot;,&quot;origin&quot;:&quot;MathType Legacy&quot;,&quot;version&quot;:&quot;v3.26.0&quot;}" title="square root of mu over a cubed end root t equals E minus e space sin space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qrt&gt;&lt;mfrac&gt;&lt;mi&gt;&amp;#x3BC;&lt;/mi&gt;&lt;msup&gt;&lt;mi&gt;a&lt;/mi&gt;&lt;mn&gt;3&lt;/mn&gt;&lt;/msup&gt;&lt;/mfrac&gt;&lt;/msqrt&gt;&lt;mi&gt;t&lt;/mi&gt;&lt;mo&gt;=&lt;/mo&gt;&lt;mi&gt;E&lt;/mi&gt;&lt;mo&gt;-&lt;/mo&gt;&lt;mi&gt;e&lt;/mi&gt;&lt;mo&gt;&amp;#xA0;&lt;/mo&gt;&lt;mi&gt;sin&lt;/mi&gt;&lt;mo&gt;&amp;#xA0;&lt;/mo&gt;&lt;mi&gt;E&lt;/mi&gt;&lt;/math&gt;&quot;,&quot;origin&quot;:&quot;MathType Legacy&quot;,&quot;version&quot;:&quot;v3.26.0&quot;}" title="square root of mu over a cubed end root t equals E minus e space sin space 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79940" cy="388778"/>
                    </a:xfrm>
                    <a:prstGeom prst="rect">
                      <a:avLst/>
                    </a:prstGeom>
                  </pic:spPr>
                </pic:pic>
              </a:graphicData>
            </a:graphic>
          </wp:inline>
        </w:drawing>
      </w:r>
      <w:r>
        <w:t xml:space="preserve">                                                                       </w:t>
      </w:r>
      <w:r>
        <w:rPr>
          <w:color w:val="auto"/>
        </w:rPr>
        <w:t>(1)</w:t>
      </w:r>
    </w:p>
    <w:p w14:paraId="663D55B1" w14:textId="7E1A767B" w:rsidR="00EE7793" w:rsidRPr="00CD53AA" w:rsidRDefault="00EE7793" w:rsidP="00EE7793">
      <w:pPr>
        <w:tabs>
          <w:tab w:val="left" w:pos="288"/>
        </w:tabs>
        <w:ind w:firstLine="288"/>
      </w:pPr>
      <w:r>
        <w:t>Reference [5] derives Eq. (1) by rearranging the vis viva equation and integrating with respect to time. The derivation employs conservation of angular momentum and the vis viva energy equation, reproducing Kepler's equation through calculus methods and confirming that the traditional framework, however approached, constrains orbital mechanics to planar motion.</w:t>
      </w:r>
    </w:p>
    <w:p w14:paraId="5A0D49D5" w14:textId="7D18C28C" w:rsidR="00EE7793" w:rsidRPr="00CD53AA" w:rsidRDefault="00EE7793" w:rsidP="00EE7793">
      <w:pPr>
        <w:tabs>
          <w:tab w:val="left" w:pos="288"/>
        </w:tabs>
        <w:ind w:firstLine="288"/>
      </w:pPr>
      <w:r>
        <w:t>Derivation of Kepler's equation by the calculus method demonstrates that vectors are applicable until the dot product converts the equation to scalar energy values. Calculus yields the same result as Kepler's model and equation; however, both approaches limit the mechanics to planar motion. This paper adopts an alternative geometric framework</w:t>
      </w:r>
      <w:r w:rsidR="0042406B">
        <w:t>,</w:t>
      </w:r>
      <w:r>
        <w:t xml:space="preserve"> </w:t>
      </w:r>
      <w:r w:rsidR="0042406B">
        <w:t>developed in Ref. [</w:t>
      </w:r>
      <w:r w:rsidR="00EF6931">
        <w:t>6</w:t>
      </w:r>
      <w:r w:rsidR="0042406B">
        <w:t>]</w:t>
      </w:r>
      <w:r w:rsidR="00EF6931">
        <w:rPr>
          <w:sz w:val="24"/>
          <w:szCs w:val="24"/>
          <w:vertAlign w:val="superscript"/>
        </w:rPr>
        <w:t xml:space="preserve"> </w:t>
      </w:r>
      <w:r w:rsidR="00EF6931">
        <w:t>, f</w:t>
      </w:r>
      <w:r>
        <w:t xml:space="preserve">or analyzing elliptical orbits </w:t>
      </w:r>
      <w:r w:rsidR="00EF6931">
        <w:t>in</w:t>
      </w:r>
      <w:r>
        <w:t xml:space="preserve"> a conical reference frame with its apex notionally positioned at the center of a spherical field.</w:t>
      </w:r>
      <w:r>
        <w:rPr>
          <w:rStyle w:val="FootnoteReference"/>
        </w:rPr>
        <w:footnoteReference w:id="2"/>
      </w:r>
      <w:r>
        <w:t xml:space="preserve"> In this framework, the satellite’s position is characterized by slant height </w:t>
      </w:r>
      <w:r>
        <w:rPr>
          <w:i/>
          <w:iCs/>
        </w:rPr>
        <w:t>R</w:t>
      </w:r>
      <w:r>
        <w:t xml:space="preserve"> measured along the cone surface from the apex, in addition to the traditional radial distance </w:t>
      </w:r>
      <w:r>
        <w:rPr>
          <w:i/>
          <w:iCs/>
        </w:rPr>
        <w:t>r</w:t>
      </w:r>
      <w:r>
        <w:t xml:space="preserve"> from primary body to satellite. A right circular cone with a 90-degree apex angle proves particularly advantageous; it eliminates position-dependent geometric terms and reveals direct algebraic relationships between orbital parameters.</w:t>
      </w:r>
      <w:r w:rsidR="00EF6931">
        <w:t>*</w:t>
      </w:r>
    </w:p>
    <w:p w14:paraId="4AD644BF" w14:textId="005811E1" w:rsidR="00EE7793" w:rsidRPr="00CD53AA" w:rsidRDefault="005034DF" w:rsidP="005034DF">
      <w:pPr>
        <w:tabs>
          <w:tab w:val="left" w:pos="288"/>
        </w:tabs>
        <w:ind w:firstLine="288"/>
      </w:pPr>
      <w:r>
        <w:rPr>
          <w:color w:val="000000"/>
        </w:rPr>
        <w:t xml:space="preserve">The conical framework offers new perspectives. A set of elliptical orbits sharing the same specific mechanical energy comprise a family of ellipses on a cone's surface, where each ellipse's eccentricity reflects its angle relative to the cone's axis. </w:t>
      </w:r>
      <w:r>
        <w:t xml:space="preserve">A fundamental geometric relationship emerges naturally between the radius vector </w:t>
      </w:r>
      <w:r>
        <w:rPr>
          <w:i/>
          <w:iCs/>
        </w:rPr>
        <w:t>r,</w:t>
      </w:r>
      <w:r>
        <w:t xml:space="preserve"> and the slant height </w:t>
      </w:r>
      <w:r>
        <w:rPr>
          <w:i/>
          <w:iCs/>
        </w:rPr>
        <w:t>R</w:t>
      </w:r>
      <w:r>
        <w:t>. Orbital motion decomposes into rectilinear motion along the cone surface and rotation about the cone axis, revealing structure not apparent in traditional planar coordinates.</w:t>
      </w:r>
    </w:p>
    <w:p w14:paraId="19184176" w14:textId="3B573BEF" w:rsidR="00EB4B45" w:rsidRDefault="00EB4B45" w:rsidP="008443A2">
      <w:pPr>
        <w:tabs>
          <w:tab w:val="left" w:pos="288"/>
        </w:tabs>
        <w:ind w:firstLine="288"/>
      </w:pPr>
      <w:r>
        <w:t xml:space="preserve">This analysis focuses on bound elliptical orbits and demonstrates three contributions within the conical framework. First, the tilt angle </w:t>
      </w:r>
      <m:oMath>
        <m:sSub>
          <m:sSubPr>
            <m:ctrlPr>
              <w:rPr>
                <w:rFonts w:ascii="Cambria Math" w:hAnsi="Cambria Math"/>
              </w:rPr>
            </m:ctrlPr>
          </m:sSubPr>
          <m:e>
            <m:r>
              <w:rPr>
                <w:rFonts w:ascii="Cambria Math" w:hAnsi="Cambria Math"/>
              </w:rPr>
              <m:t>Φ</m:t>
            </m:r>
          </m:e>
          <m:sub>
            <m:r>
              <w:rPr>
                <w:rFonts w:ascii="Cambria Math" w:hAnsi="Cambria Math"/>
              </w:rPr>
              <m:t>h</m:t>
            </m:r>
          </m:sub>
        </m:sSub>
      </m:oMath>
      <w:r>
        <w:t xml:space="preserve"> of the orbital plane relative to the cone axis satisfies </w:t>
      </w:r>
      <m:oMath>
        <m:r>
          <w:rPr>
            <w:rFonts w:ascii="Cambria Math" w:hAnsi="Cambria Math"/>
            <w:sz w:val="18"/>
            <w:szCs w:val="18"/>
          </w:rPr>
          <m:t>sin 2</m:t>
        </m:r>
        <m:sSub>
          <m:sSubPr>
            <m:ctrlPr>
              <w:rPr>
                <w:rFonts w:ascii="Cambria Math" w:hAnsi="Cambria Math"/>
                <w:sz w:val="18"/>
                <w:szCs w:val="18"/>
              </w:rPr>
            </m:ctrlPr>
          </m:sSubPr>
          <m:e>
            <m:r>
              <w:rPr>
                <w:rFonts w:ascii="Cambria Math" w:hAnsi="Cambria Math"/>
                <w:sz w:val="18"/>
                <w:szCs w:val="18"/>
              </w:rPr>
              <m:t>Φ</m:t>
            </m:r>
          </m:e>
          <m:sub>
            <m:r>
              <w:rPr>
                <w:rFonts w:ascii="Cambria Math" w:hAnsi="Cambria Math"/>
                <w:sz w:val="18"/>
                <w:szCs w:val="18"/>
              </w:rPr>
              <m:t>h</m:t>
            </m:r>
          </m:sub>
        </m:sSub>
        <m:r>
          <w:rPr>
            <w:rFonts w:ascii="Cambria Math" w:hAnsi="Cambria Math"/>
            <w:sz w:val="18"/>
            <w:szCs w:val="18"/>
          </w:rPr>
          <m:t>=e</m:t>
        </m:r>
      </m:oMath>
      <w:r>
        <w:t>, providing a direct geometric encoding of eccentricity without reference to the orbital plane. Second, applying Gauss's law for gravitation to the conical surface yields a logarithmic flux integral that connects pointwise to the eccentric anomaly throughout the orbit, establishing a three-dimensional geometric interpretation of Kepler's equation. Third, these results support a numerical positioning scheme with dual convergence tolerances, one on the Kepler residual and one on the logarithmic position variable that provides an independent geometric consistency check unavailable in the classical two-dimensional approach.</w:t>
      </w:r>
    </w:p>
    <w:p w14:paraId="5293F8D3" w14:textId="77777777" w:rsidR="0086701B" w:rsidRPr="007720BA" w:rsidRDefault="0086701B" w:rsidP="006717EC">
      <w:pPr>
        <w:keepNext/>
        <w:numPr>
          <w:ilvl w:val="0"/>
          <w:numId w:val="2"/>
        </w:numPr>
        <w:tabs>
          <w:tab w:val="num" w:pos="180"/>
        </w:tabs>
        <w:spacing w:before="240" w:after="60"/>
        <w:ind w:left="180" w:hanging="180"/>
        <w:jc w:val="center"/>
        <w:outlineLvl w:val="0"/>
        <w:rPr>
          <w:b/>
          <w:kern w:val="32"/>
          <w:sz w:val="22"/>
        </w:rPr>
      </w:pPr>
      <w:r>
        <w:rPr>
          <w:b/>
          <w:kern w:val="32"/>
          <w:sz w:val="22"/>
        </w:rPr>
        <w:t>Three-Dimensional Coordinates</w:t>
      </w:r>
    </w:p>
    <w:p w14:paraId="11BD8FE5" w14:textId="75BF0454" w:rsidR="0088135D" w:rsidRDefault="0088135D" w:rsidP="0088135D">
      <w:pPr>
        <w:tabs>
          <w:tab w:val="left" w:pos="288"/>
        </w:tabs>
        <w:ind w:firstLine="288"/>
      </w:pPr>
      <w:r>
        <w:t xml:space="preserve">Gravitation from the center of a force field acts as the reciprocal of distance squared equally in all directions. Textbooks and publications typically begin analyses of orbital motion in the field with a description limited to the orbit and the satellite rotating in-plane about the primary body. Special case trajectories without a rotational component are rectilinear. Vallado notes that for each of the orbital geometrical shapes, a rectilinear special case results from the plane lying on the surface of the cone extending from the apex as a slant height of the cone. [4] Rectilinear trajectories contribute to orbital motion analyses mathematically. The following sections incorporate this unique motion. </w:t>
      </w:r>
    </w:p>
    <w:p w14:paraId="3046047B" w14:textId="10A38F38" w:rsidR="0086701B" w:rsidRDefault="0086701B" w:rsidP="000045DA">
      <w:pPr>
        <w:tabs>
          <w:tab w:val="left" w:pos="288"/>
        </w:tabs>
        <w:ind w:firstLine="288"/>
      </w:pPr>
      <w:r>
        <w:t xml:space="preserve">With a spherical model, a body situated on the surface of a sphere with radius </w:t>
      </w:r>
      <w:r>
        <w:rPr>
          <w:i/>
        </w:rPr>
        <w:t>R</w:t>
      </w:r>
      <w:r>
        <w:t xml:space="preserve"> experiences an attractive force towards the center of the sphere with the value</w:t>
      </w:r>
      <m:oMath>
        <m:r>
          <w:rPr>
            <w:rFonts w:ascii="Cambria Math" w:hAnsi="Cambria Math"/>
            <w:sz w:val="18"/>
            <w:szCs w:val="18"/>
          </w:rPr>
          <m:t xml:space="preserve"> -μ/</m:t>
        </m:r>
        <m:sSup>
          <m:sSupPr>
            <m:ctrlPr>
              <w:rPr>
                <w:rFonts w:ascii="Cambria Math" w:hAnsi="Cambria Math"/>
                <w:i/>
                <w:sz w:val="18"/>
                <w:szCs w:val="18"/>
              </w:rPr>
            </m:ctrlPr>
          </m:sSupPr>
          <m:e>
            <m:r>
              <w:rPr>
                <w:rFonts w:ascii="Cambria Math" w:hAnsi="Cambria Math"/>
                <w:sz w:val="18"/>
                <w:szCs w:val="18"/>
              </w:rPr>
              <m:t>R</m:t>
            </m:r>
          </m:e>
          <m:sup>
            <m:r>
              <w:rPr>
                <w:rFonts w:ascii="Cambria Math" w:hAnsi="Cambria Math"/>
                <w:sz w:val="18"/>
                <w:szCs w:val="18"/>
              </w:rPr>
              <m:t>2</m:t>
            </m:r>
          </m:sup>
        </m:sSup>
      </m:oMath>
      <w:r>
        <w:t xml:space="preserve">. This is Newton’s gravitational force equation as applied in orbital mechanics with </w:t>
      </w:r>
      <w:r>
        <w:rPr>
          <w:i/>
          <w:iCs/>
        </w:rPr>
        <w:t>μ</w:t>
      </w:r>
      <w:r>
        <w:t xml:space="preserve"> as the gravitation constant, </w:t>
      </w:r>
      <w:r>
        <w:rPr>
          <w:i/>
          <w:iCs/>
        </w:rPr>
        <w:t>G</w:t>
      </w:r>
      <w:r>
        <w:t xml:space="preserve">, times the mass of the primary body. </w:t>
      </w:r>
      <w:r>
        <w:rPr>
          <w:color w:val="000000"/>
        </w:rPr>
        <w:t xml:space="preserve">In this paper, the symbol </w:t>
      </w:r>
      <w:r>
        <w:rPr>
          <w:i/>
          <w:color w:val="000000"/>
        </w:rPr>
        <w:t>R</w:t>
      </w:r>
      <w:r>
        <w:rPr>
          <w:color w:val="000000"/>
        </w:rPr>
        <w:t xml:space="preserve"> represents the distance from the origin (apex) in a conical coordinate system, while </w:t>
      </w:r>
      <w:r>
        <w:rPr>
          <w:i/>
          <w:color w:val="000000"/>
        </w:rPr>
        <w:t>r</w:t>
      </w:r>
      <w:r>
        <w:rPr>
          <w:color w:val="000000"/>
        </w:rPr>
        <w:t xml:space="preserve"> refers to the distance between the two bodies in an orbital problem. </w:t>
      </w:r>
      <w:r>
        <w:t xml:space="preserve">Figure 1 shows a force field having spherical symmetry and a conical reference frame with its apex at the center of the sphere. In the spherical gravity force field, all vectors radiate from the center along linear paths. The conical reference frame has radii </w:t>
      </w:r>
      <w:r>
        <w:rPr>
          <w:i/>
          <w:iCs/>
        </w:rPr>
        <w:t>R</w:t>
      </w:r>
      <w:r>
        <w:t xml:space="preserve"> along slant heights, or cone generators, on the surface of a right circular cone. For purely radial motion—objects falling directly toward or escaping directly from the primary body—this spherical coordinate system is natural and sufficient. However, for orbital motion with angular momentum, the satellite trajectory does not approach the origin, and the three-dimensional structure of its interaction with the gravitational field becomes relevant. The conical frame provides geometric structure that accommodates both the radial component of motion and the angular momentum constraint.</w:t>
      </w:r>
    </w:p>
    <w:p w14:paraId="0926B6AF" w14:textId="77777777" w:rsidR="00AB23F5" w:rsidRDefault="00AB23F5" w:rsidP="0086701B">
      <w:pPr>
        <w:tabs>
          <w:tab w:val="left" w:pos="288"/>
        </w:tabs>
        <w:ind w:firstLine="288"/>
      </w:pPr>
    </w:p>
    <w:p w14:paraId="2D3AFC71" w14:textId="23527E84" w:rsidR="0086701B" w:rsidRDefault="0086701B" w:rsidP="0086701B">
      <w:pPr>
        <w:tabs>
          <w:tab w:val="left" w:pos="288"/>
        </w:tabs>
        <w:ind w:firstLine="288"/>
      </w:pPr>
      <w:r>
        <w:rPr>
          <w:noProof/>
        </w:rPr>
        <w:t xml:space="preserve">                    </w:t>
      </w:r>
      <w:r>
        <w:t xml:space="preserve">                              </w:t>
      </w:r>
      <w:r>
        <w:rPr>
          <w:noProof/>
        </w:rPr>
        <w:drawing>
          <wp:inline distT="0" distB="0" distL="0" distR="0" wp14:anchorId="2ECC6060" wp14:editId="402E6098">
            <wp:extent cx="2266950" cy="2092070"/>
            <wp:effectExtent l="0" t="0" r="0" b="3810"/>
            <wp:docPr id="69675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52170" name=""/>
                    <pic:cNvPicPr/>
                  </pic:nvPicPr>
                  <pic:blipFill>
                    <a:blip r:embed="rId12"/>
                    <a:stretch>
                      <a:fillRect/>
                    </a:stretch>
                  </pic:blipFill>
                  <pic:spPr>
                    <a:xfrm>
                      <a:off x="0" y="0"/>
                      <a:ext cx="2277246" cy="2101572"/>
                    </a:xfrm>
                    <a:prstGeom prst="rect">
                      <a:avLst/>
                    </a:prstGeom>
                  </pic:spPr>
                </pic:pic>
              </a:graphicData>
            </a:graphic>
          </wp:inline>
        </w:drawing>
      </w:r>
    </w:p>
    <w:p w14:paraId="4AF33C9D" w14:textId="77777777" w:rsidR="0086701B" w:rsidRDefault="0086701B" w:rsidP="0086701B">
      <w:pPr>
        <w:tabs>
          <w:tab w:val="left" w:pos="288"/>
        </w:tabs>
        <w:ind w:firstLine="288"/>
      </w:pPr>
    </w:p>
    <w:p w14:paraId="70692A66" w14:textId="4D23BC75" w:rsidR="0086701B" w:rsidRPr="00336F42" w:rsidRDefault="0086701B" w:rsidP="00D227DA">
      <w:pPr>
        <w:tabs>
          <w:tab w:val="left" w:pos="288"/>
        </w:tabs>
        <w:ind w:firstLine="288"/>
        <w:jc w:val="center"/>
        <w:rPr>
          <w:b/>
          <w:bCs/>
          <w:color w:val="EE0000"/>
        </w:rPr>
      </w:pPr>
      <w:r>
        <w:rPr>
          <w:b/>
          <w:bCs/>
        </w:rPr>
        <w:t>Fig. 1  Conic Reference Frame in a Spherical Field</w:t>
      </w:r>
    </w:p>
    <w:p w14:paraId="0D8C8351" w14:textId="77777777" w:rsidR="00EC4BAF" w:rsidRPr="00336F42" w:rsidRDefault="00EC4BAF" w:rsidP="0086701B">
      <w:pPr>
        <w:tabs>
          <w:tab w:val="left" w:pos="288"/>
        </w:tabs>
        <w:ind w:firstLine="288"/>
        <w:rPr>
          <w:b/>
          <w:bCs/>
        </w:rPr>
      </w:pPr>
    </w:p>
    <w:p w14:paraId="6296826E" w14:textId="66D07BFF" w:rsidR="0086701B" w:rsidRDefault="00914DBA" w:rsidP="00531C44">
      <w:pPr>
        <w:tabs>
          <w:tab w:val="left" w:pos="288"/>
        </w:tabs>
        <w:ind w:firstLine="288"/>
      </w:pPr>
      <w:r>
        <w:t xml:space="preserve">Orbiting bodies trace paths that are conic sections. </w:t>
      </w:r>
      <w:r>
        <w:rPr>
          <w:color w:val="000000"/>
        </w:rPr>
        <w:t xml:space="preserve">Since the early 1600s, this principle has been thoroughly tested mathematically and proven through real-world implementation. </w:t>
      </w:r>
      <w:r>
        <w:t xml:space="preserve">Having established spherical symmetry and the conic relationship, the cone is sufficient for further analysis in </w:t>
      </w:r>
      <w:r>
        <w:rPr>
          <w:color w:val="000000"/>
        </w:rPr>
        <w:t>this paper. The next section</w:t>
      </w:r>
      <w:r>
        <w:t xml:space="preserve"> describes variables in the conic frame. </w:t>
      </w:r>
    </w:p>
    <w:p w14:paraId="4316A528" w14:textId="77777777" w:rsidR="006B3A24" w:rsidRPr="007720BA" w:rsidRDefault="006B3A24" w:rsidP="007720BA">
      <w:pPr>
        <w:keepNext/>
        <w:numPr>
          <w:ilvl w:val="0"/>
          <w:numId w:val="2"/>
        </w:numPr>
        <w:tabs>
          <w:tab w:val="num" w:pos="180"/>
        </w:tabs>
        <w:spacing w:before="240" w:after="60"/>
        <w:ind w:left="180" w:hanging="180"/>
        <w:jc w:val="center"/>
        <w:outlineLvl w:val="0"/>
        <w:rPr>
          <w:b/>
          <w:kern w:val="32"/>
          <w:sz w:val="22"/>
        </w:rPr>
      </w:pPr>
      <w:bookmarkStart w:id="4" w:name="_Hlk205385874"/>
      <w:r>
        <w:rPr>
          <w:b/>
          <w:kern w:val="32"/>
          <w:sz w:val="22"/>
        </w:rPr>
        <w:t xml:space="preserve">   Geometry of Elliptical Orbits in a Conical Frame</w:t>
      </w:r>
    </w:p>
    <w:bookmarkEnd w:id="4"/>
    <w:p w14:paraId="56CAB849" w14:textId="77777777" w:rsidR="00875771" w:rsidRDefault="00875771" w:rsidP="00FD046A">
      <w:pPr>
        <w:tabs>
          <w:tab w:val="left" w:pos="288"/>
        </w:tabs>
        <w:spacing w:after="120"/>
        <w:jc w:val="left"/>
      </w:pPr>
      <w:r>
        <w:rPr>
          <w:b/>
          <w:bCs/>
        </w:rPr>
        <w:t>A.  Basic Geometry of Elliptical Orbits.</w:t>
      </w:r>
      <w:r>
        <w:t xml:space="preserve"> </w:t>
      </w:r>
    </w:p>
    <w:p w14:paraId="3A0CB0AC" w14:textId="6BEE5CF3" w:rsidR="008F7BA8" w:rsidRDefault="006E1C52" w:rsidP="00531C44">
      <w:pPr>
        <w:tabs>
          <w:tab w:val="left" w:pos="288"/>
        </w:tabs>
        <w:ind w:firstLine="288"/>
        <w:rPr>
          <w:i/>
          <w:iCs/>
          <w:color w:val="000000" w:themeColor="text1"/>
          <w:kern w:val="24"/>
          <w:sz w:val="36"/>
          <w:szCs w:val="36"/>
        </w:rPr>
      </w:pPr>
      <w:r>
        <w:t xml:space="preserve">Figure 2 shows a general plane in a conical reference frame for an elliptical orbit. The model of the orbit within the plane that intersects the cone is unchanged from the classical two-dimensional reference frame. </w:t>
      </w:r>
      <w:r>
        <w:rPr>
          <w:color w:val="000000"/>
        </w:rPr>
        <w:t xml:space="preserve">The radius vector </w:t>
      </w:r>
      <w:r>
        <w:rPr>
          <w:i/>
          <w:color w:val="000000"/>
        </w:rPr>
        <w:t>r</w:t>
      </w:r>
      <w:r>
        <w:rPr>
          <w:color w:val="000000"/>
        </w:rPr>
        <w:t xml:space="preserve"> extends from the main body to the satellite, while </w:t>
      </w:r>
      <w:r>
        <w:rPr>
          <w:i/>
          <w:color w:val="000000"/>
        </w:rPr>
        <w:t>θ</w:t>
      </w:r>
      <w:r>
        <w:rPr>
          <w:color w:val="000000"/>
        </w:rPr>
        <w:t xml:space="preserve"> represents the true anomaly angle measured from the periapsis. </w:t>
      </w:r>
      <w:r>
        <w:t xml:space="preserve">Apoapsis is at </w:t>
      </w:r>
      <w:r>
        <w:rPr>
          <w:i/>
          <w:iCs/>
        </w:rPr>
        <w:t>A</w:t>
      </w:r>
      <w:r>
        <w:t xml:space="preserve"> and </w:t>
      </w:r>
      <w:r>
        <w:rPr>
          <w:i/>
          <w:iCs/>
        </w:rPr>
        <w:t>R</w:t>
      </w:r>
      <w:r>
        <w:t xml:space="preserve"> is the slant height at the satellite's position. At a given distance from the apex, we construct </w:t>
      </w:r>
      <w:r>
        <w:rPr>
          <w:i/>
          <w:iCs/>
        </w:rPr>
        <w:t>OF</w:t>
      </w:r>
      <w:r>
        <w:t xml:space="preserve"> perpendicular to the plane of the orbit. In Fig. 2, the area swept by the radius vector corresponds to Kepler's model. The conical reference frame is related to a Cartesian coordinate system (x, y, z) with the z-axis coinciding with the cone centerline. As shown in Fig. </w:t>
      </w:r>
      <w:r>
        <w:rPr>
          <w:color w:val="000000"/>
        </w:rPr>
        <w:t xml:space="preserve">3, the classical orbital parameters are applicable, and the conical parameters </w:t>
      </w:r>
      <w:r>
        <w:rPr>
          <w:i/>
          <w:color w:val="000000"/>
        </w:rPr>
        <w:t>R</w:t>
      </w:r>
      <w:r>
        <w:rPr>
          <w:color w:val="000000"/>
        </w:rPr>
        <w:t xml:space="preserve">, </w:t>
      </w:r>
      <w:r>
        <w:rPr>
          <w:i/>
          <w:color w:val="000000"/>
        </w:rPr>
        <w:t>Φ</w:t>
      </w:r>
      <w:r>
        <w:rPr>
          <w:color w:val="000000"/>
        </w:rPr>
        <w:t xml:space="preserve">, and </w:t>
      </w:r>
      <w:r>
        <w:rPr>
          <w:i/>
          <w:iCs/>
        </w:rPr>
        <w:t>Θ</w:t>
      </w:r>
      <w:r>
        <w:rPr>
          <w:color w:val="000000"/>
        </w:rPr>
        <w:t xml:space="preserve">  adequately specify the satellite's position. </w:t>
      </w:r>
      <w:r>
        <w:t xml:space="preserve"> </w:t>
      </w:r>
      <w:r>
        <w:rPr>
          <w:i/>
          <w:iCs/>
          <w:color w:val="000000" w:themeColor="text1"/>
          <w:kern w:val="24"/>
          <w:sz w:val="36"/>
          <w:szCs w:val="36"/>
        </w:rPr>
        <w:t xml:space="preserve"> </w:t>
      </w:r>
    </w:p>
    <w:p w14:paraId="13E27C65" w14:textId="625F39A1" w:rsidR="00B66EEB" w:rsidRDefault="003F14F3" w:rsidP="00D227DA">
      <w:pPr>
        <w:spacing w:before="120"/>
        <w:jc w:val="center"/>
        <w:rPr>
          <w:b/>
        </w:rPr>
      </w:pPr>
      <w:r>
        <w:rPr>
          <w:b/>
          <w:noProof/>
        </w:rPr>
        <w:drawing>
          <wp:inline distT="0" distB="0" distL="0" distR="0" wp14:anchorId="7A32CFEB" wp14:editId="0A5F62EF">
            <wp:extent cx="5144218" cy="1705213"/>
            <wp:effectExtent l="0" t="0" r="0" b="9525"/>
            <wp:docPr id="114322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29077" name=""/>
                    <pic:cNvPicPr/>
                  </pic:nvPicPr>
                  <pic:blipFill>
                    <a:blip r:embed="rId13"/>
                    <a:stretch>
                      <a:fillRect/>
                    </a:stretch>
                  </pic:blipFill>
                  <pic:spPr>
                    <a:xfrm>
                      <a:off x="0" y="0"/>
                      <a:ext cx="5144218" cy="1705213"/>
                    </a:xfrm>
                    <a:prstGeom prst="rect">
                      <a:avLst/>
                    </a:prstGeom>
                  </pic:spPr>
                </pic:pic>
              </a:graphicData>
            </a:graphic>
          </wp:inline>
        </w:drawing>
      </w:r>
    </w:p>
    <w:p w14:paraId="72CAF439" w14:textId="6F7969B7" w:rsidR="001018BE" w:rsidRPr="00D644BC" w:rsidRDefault="00D227DA" w:rsidP="001018BE">
      <w:pPr>
        <w:pStyle w:val="References"/>
        <w:rPr>
          <w:rFonts w:eastAsia="Times"/>
          <w:b/>
          <w:bCs/>
          <w:sz w:val="20"/>
        </w:rPr>
      </w:pPr>
      <w:r>
        <w:rPr>
          <w:rFonts w:eastAsia="Times"/>
          <w:b/>
          <w:bCs/>
          <w:sz w:val="20"/>
        </w:rPr>
        <w:t xml:space="preserve">        Fig. 2   Three-Dimensional Conical Reference      Fig. 3   The Component of </w:t>
      </w:r>
      <w:r>
        <w:rPr>
          <w:rFonts w:eastAsia="Times"/>
          <w:b/>
          <w:bCs/>
          <w:i/>
          <w:iCs/>
          <w:sz w:val="20"/>
        </w:rPr>
        <w:t xml:space="preserve">R </w:t>
      </w:r>
      <w:r>
        <w:rPr>
          <w:rFonts w:eastAsia="Times"/>
          <w:b/>
          <w:bCs/>
          <w:sz w:val="20"/>
        </w:rPr>
        <w:t>Perpendicular to</w:t>
      </w:r>
    </w:p>
    <w:p w14:paraId="6F081E1F" w14:textId="693A706C" w:rsidR="001018BE" w:rsidRDefault="001018BE" w:rsidP="001018BE">
      <w:pPr>
        <w:pStyle w:val="References"/>
        <w:rPr>
          <w:rFonts w:eastAsia="Times"/>
          <w:b/>
          <w:bCs/>
          <w:sz w:val="20"/>
        </w:rPr>
      </w:pPr>
      <w:r>
        <w:rPr>
          <w:rFonts w:eastAsia="Times"/>
          <w:b/>
          <w:bCs/>
          <w:sz w:val="20"/>
        </w:rPr>
        <w:t xml:space="preserve">        Frame with Orbital Plane Intersection                  the Cone Axis, </w:t>
      </w:r>
      <w:r>
        <w:rPr>
          <w:rFonts w:eastAsia="Times"/>
          <w:b/>
          <w:bCs/>
          <w:i/>
          <w:iCs/>
          <w:sz w:val="20"/>
        </w:rPr>
        <w:t>R’</w:t>
      </w:r>
    </w:p>
    <w:p w14:paraId="25788F5D" w14:textId="62804291" w:rsidR="001018BE" w:rsidRDefault="001018BE" w:rsidP="001018BE">
      <w:pPr>
        <w:pStyle w:val="References"/>
        <w:rPr>
          <w:rFonts w:eastAsia="Times"/>
          <w:b/>
          <w:bCs/>
          <w:sz w:val="20"/>
        </w:rPr>
      </w:pPr>
    </w:p>
    <w:p w14:paraId="1D209F41" w14:textId="77777777" w:rsidR="00875771" w:rsidRDefault="00875771" w:rsidP="00AD025A">
      <w:pPr>
        <w:tabs>
          <w:tab w:val="left" w:pos="288"/>
        </w:tabs>
        <w:spacing w:after="120"/>
      </w:pPr>
      <w:r>
        <w:rPr>
          <w:b/>
          <w:bCs/>
        </w:rPr>
        <w:t>B.  Edge View Analysis.</w:t>
      </w:r>
      <w:r>
        <w:t xml:space="preserve"> </w:t>
      </w:r>
    </w:p>
    <w:p w14:paraId="078A4A7F" w14:textId="021C5739" w:rsidR="006E1C52" w:rsidRDefault="00374057" w:rsidP="00875771">
      <w:pPr>
        <w:tabs>
          <w:tab w:val="left" w:pos="288"/>
        </w:tabs>
        <w:ind w:firstLine="288"/>
      </w:pPr>
      <w:r>
        <w:t xml:space="preserve">Reference [6] develops simplified algebraic relationships for an elliptical orbit in a cone with a preferred apex angle. Begin with </w:t>
      </w:r>
      <w:r>
        <w:rPr>
          <w:i/>
          <w:iCs/>
        </w:rPr>
        <w:t>0F</w:t>
      </w:r>
      <w:r>
        <w:t xml:space="preserve"> having unknown length</w:t>
      </w:r>
      <w:r>
        <w:rPr>
          <w:color w:val="000000" w:themeColor="text1"/>
        </w:rPr>
        <w:t xml:space="preserve"> </w:t>
      </w:r>
      <w:r>
        <w:t xml:space="preserve">and construct the edge view shown in Fig. 4 with the line of apses in the plane of the paper and </w:t>
      </w:r>
      <w:r>
        <w:rPr>
          <w:i/>
          <w:iCs/>
        </w:rPr>
        <w:t>0F</w:t>
      </w:r>
      <w:r>
        <w:t xml:space="preserve"> both perpendicular to the orbit plane and extending to the cone apex. Relate the right triangles in Fig. 4 to give a preferred value for the apex angle. Reference [6] presents the derivation from the edge view geometry. The result, simplified in Eq. (2), gives the preferred apex angle. Figure 4 shows the resulting edge view.</w:t>
      </w:r>
    </w:p>
    <w:p w14:paraId="5F58A15B" w14:textId="59230841" w:rsidR="002E69FC" w:rsidRPr="00981100" w:rsidRDefault="002E02AD" w:rsidP="00981100">
      <w:pPr>
        <w:pStyle w:val="Equation"/>
        <w:rPr>
          <w:rFonts w:eastAsia="Times New Roman"/>
        </w:rPr>
      </w:pPr>
      <w:r>
        <w:drawing>
          <wp:inline distT="0" distB="0" distL="0" distR="0" wp14:anchorId="0C3211FF" wp14:editId="2B8432B6">
            <wp:extent cx="2216118" cy="154305"/>
            <wp:effectExtent l="0" t="0" r="0" b="0"/>
            <wp:docPr id="1916604272" name="Picture 1916604272" descr="{&quot;mathml&quot;:&quot;&lt;math style=\&quot;font-family:stix;font-size:16px;\&quot; xmlns=\&quot;http://www.w3.org/1998/Math/MathML\&quot;&gt;&lt;msup&gt;&lt;mover&gt;&lt;mrow&gt;&lt;mi&gt;O&lt;/mi&gt;&lt;mi&gt;F&lt;/mi&gt;&lt;/mrow&gt;&lt;mo&gt;&amp;#xAF;&lt;/mo&gt;&lt;/mover&gt;&lt;mn&gt;2&lt;/mn&gt;&lt;/msup&gt;&lt;mo&gt;-&lt;/mo&gt;&lt;mn&gt;2&lt;/mn&gt;&lt;mo&gt;&amp;#xA0;&lt;/mo&gt;&lt;mover&gt;&lt;mrow&gt;&lt;mi&gt;O&lt;/mi&gt;&lt;mi&gt;F&lt;/mi&gt;&lt;/mrow&gt;&lt;mo&gt;&amp;#xAF;&lt;/mo&gt;&lt;/mover&gt;&lt;mo&gt;&amp;#xA0;&lt;/mo&gt;&lt;mi&gt;a&lt;/mi&gt;&lt;mo&gt;&amp;#xA0;&lt;/mo&gt;&lt;mi&gt;c&lt;/mi&gt;&lt;mi&gt;o&lt;/mi&gt;&lt;mi&gt;t&lt;/mi&gt;&lt;mfenced&gt;&lt;mrow&gt;&lt;mi&gt;&amp;#x3B1;&lt;/mi&gt;&lt;mo&gt;+&lt;/mo&gt;&lt;mi&gt;&amp;#x3B2;&lt;/mi&gt;&lt;/mrow&gt;&lt;/mfenced&gt;&lt;mo&gt;-&lt;/mo&gt;&lt;msup&gt;&lt;mi&gt;a&lt;/mi&gt;&lt;mn&gt;2&lt;/mn&gt;&lt;/msup&gt;&lt;mfenced&gt;&lt;mrow&gt;&lt;mn&gt;1&lt;/mn&gt;&lt;mo&gt;-&lt;/mo&gt;&lt;msup&gt;&lt;mi&gt;e&lt;/mi&gt;&lt;mn&gt;2&lt;/mn&gt;&lt;/msup&gt;&lt;/mrow&gt;&lt;/mfenced&gt;&lt;mo&gt;=&lt;/mo&gt;&lt;mn&gt;0&lt;/mn&gt;&lt;/math&gt;&quot;,&quot;origin&quot;:&quot;MathType Legacy&quot;,&quot;version&quot;:&quot;v3.26.0&quot;}" title="stack O F with bar on top squared minus 2 space stack O F with bar on top space a space c o t open parentheses alpha plus beta close parentheses minus a squared open parentheses 1 minus e squared close parentheses equal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p&gt;&lt;mover&gt;&lt;mrow&gt;&lt;mi&gt;O&lt;/mi&gt;&lt;mi&gt;F&lt;/mi&gt;&lt;/mrow&gt;&lt;mo&gt;&amp;#xAF;&lt;/mo&gt;&lt;/mover&gt;&lt;mn&gt;2&lt;/mn&gt;&lt;/msup&gt;&lt;mo&gt;-&lt;/mo&gt;&lt;mn&gt;2&lt;/mn&gt;&lt;mo&gt;&amp;#xA0;&lt;/mo&gt;&lt;mover&gt;&lt;mrow&gt;&lt;mi&gt;O&lt;/mi&gt;&lt;mi&gt;F&lt;/mi&gt;&lt;/mrow&gt;&lt;mo&gt;&amp;#xAF;&lt;/mo&gt;&lt;/mover&gt;&lt;mo&gt;&amp;#xA0;&lt;/mo&gt;&lt;mi&gt;a&lt;/mi&gt;&lt;mo&gt;&amp;#xA0;&lt;/mo&gt;&lt;mi&gt;c&lt;/mi&gt;&lt;mi&gt;o&lt;/mi&gt;&lt;mi&gt;t&lt;/mi&gt;&lt;mfenced&gt;&lt;mrow&gt;&lt;mi&gt;&amp;#x3B1;&lt;/mi&gt;&lt;mo&gt;+&lt;/mo&gt;&lt;mi&gt;&amp;#x3B2;&lt;/mi&gt;&lt;/mrow&gt;&lt;/mfenced&gt;&lt;mo&gt;-&lt;/mo&gt;&lt;msup&gt;&lt;mi&gt;a&lt;/mi&gt;&lt;mn&gt;2&lt;/mn&gt;&lt;/msup&gt;&lt;mfenced&gt;&lt;mrow&gt;&lt;mn&gt;1&lt;/mn&gt;&lt;mo&gt;-&lt;/mo&gt;&lt;msup&gt;&lt;mi&gt;e&lt;/mi&gt;&lt;mn&gt;2&lt;/mn&gt;&lt;/msup&gt;&lt;/mrow&gt;&lt;/mfenced&gt;&lt;mo&gt;=&lt;/mo&gt;&lt;mn&gt;0&lt;/mn&gt;&lt;/math&gt;&quot;,&quot;origin&quot;:&quot;MathType Legacy&quot;,&quot;version&quot;:&quot;v3.26.0&quot;}" title="stack O F with bar on top squared minus 2 space stack O F with bar on top space a space c o t open parentheses alpha plus beta close parentheses minus a squared open parentheses 1 minus e squared close parentheses equals 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52655" cy="163812"/>
                    </a:xfrm>
                    <a:prstGeom prst="rect">
                      <a:avLst/>
                    </a:prstGeom>
                  </pic:spPr>
                </pic:pic>
              </a:graphicData>
            </a:graphic>
          </wp:inline>
        </w:drawing>
      </w:r>
      <w:r>
        <w:t xml:space="preserve">                           </w:t>
      </w:r>
      <w:r w:rsidR="00FB2104">
        <w:t xml:space="preserve"> </w:t>
      </w:r>
      <w:r>
        <w:t xml:space="preserve">                         </w:t>
      </w:r>
      <w:r>
        <w:rPr>
          <w:color w:val="auto"/>
        </w:rPr>
        <w:t>(2)</w:t>
      </w:r>
    </w:p>
    <w:p w14:paraId="66331B3D" w14:textId="68BC38F9" w:rsidR="008B788A" w:rsidRDefault="00D227DA" w:rsidP="00F1613D">
      <w:pPr>
        <w:spacing w:before="120"/>
        <w:jc w:val="center"/>
        <w:rPr>
          <w:rFonts w:eastAsia="Times"/>
        </w:rPr>
      </w:pPr>
      <w:r>
        <w:rPr>
          <w:rFonts w:eastAsia="Times"/>
          <w:noProof/>
        </w:rPr>
        <w:drawing>
          <wp:inline distT="0" distB="0" distL="0" distR="0" wp14:anchorId="17E2940F" wp14:editId="351175D2">
            <wp:extent cx="2143126" cy="1315664"/>
            <wp:effectExtent l="0" t="0" r="0" b="0"/>
            <wp:docPr id="191910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06109" name=""/>
                    <pic:cNvPicPr/>
                  </pic:nvPicPr>
                  <pic:blipFill>
                    <a:blip r:embed="rId15"/>
                    <a:stretch>
                      <a:fillRect/>
                    </a:stretch>
                  </pic:blipFill>
                  <pic:spPr>
                    <a:xfrm>
                      <a:off x="0" y="0"/>
                      <a:ext cx="2153049" cy="1321756"/>
                    </a:xfrm>
                    <a:prstGeom prst="rect">
                      <a:avLst/>
                    </a:prstGeom>
                  </pic:spPr>
                </pic:pic>
              </a:graphicData>
            </a:graphic>
          </wp:inline>
        </w:drawing>
      </w:r>
    </w:p>
    <w:p w14:paraId="51A8E4AD" w14:textId="6F51753B" w:rsidR="006E1C52" w:rsidRPr="002C3CFC" w:rsidRDefault="00DC7864" w:rsidP="00D227DA">
      <w:pPr>
        <w:pStyle w:val="References"/>
        <w:spacing w:after="120" w:line="480" w:lineRule="auto"/>
        <w:ind w:firstLine="0"/>
        <w:jc w:val="center"/>
        <w:rPr>
          <w:rFonts w:eastAsia="Times"/>
          <w:b/>
          <w:bCs/>
          <w:sz w:val="20"/>
        </w:rPr>
      </w:pPr>
      <w:r>
        <w:rPr>
          <w:rFonts w:eastAsia="Times"/>
          <w:b/>
          <w:bCs/>
          <w:color w:val="000000" w:themeColor="text1"/>
          <w:sz w:val="20"/>
        </w:rPr>
        <w:t xml:space="preserve">Fig.  4 </w:t>
      </w:r>
      <w:r>
        <w:rPr>
          <w:rFonts w:eastAsia="Times"/>
          <w:b/>
          <w:bCs/>
          <w:sz w:val="20"/>
        </w:rPr>
        <w:t xml:space="preserve"> Edge View After Solving for </w:t>
      </w:r>
      <w:r>
        <w:rPr>
          <w:b/>
          <w:bCs/>
          <w:i/>
          <w:iCs/>
          <w:sz w:val="20"/>
        </w:rPr>
        <w:t>α</w:t>
      </w:r>
      <w:r>
        <w:rPr>
          <w:rFonts w:eastAsia="Times"/>
          <w:b/>
          <w:bCs/>
          <w:sz w:val="20"/>
        </w:rPr>
        <w:t xml:space="preserve">, </w:t>
      </w:r>
      <w:r>
        <w:rPr>
          <w:b/>
          <w:bCs/>
          <w:i/>
          <w:iCs/>
          <w:sz w:val="20"/>
        </w:rPr>
        <w:t>β</w:t>
      </w:r>
      <w:r>
        <w:rPr>
          <w:rFonts w:eastAsia="Times"/>
          <w:b/>
          <w:bCs/>
          <w:sz w:val="20"/>
        </w:rPr>
        <w:t xml:space="preserve">, </w:t>
      </w:r>
      <w:r>
        <w:rPr>
          <w:rFonts w:eastAsia="Times"/>
          <w:b/>
          <w:bCs/>
          <w:i/>
          <w:iCs/>
          <w:sz w:val="20"/>
        </w:rPr>
        <w:t xml:space="preserve">OA, </w:t>
      </w:r>
      <w:r>
        <w:rPr>
          <w:rFonts w:eastAsia="Times"/>
          <w:b/>
          <w:bCs/>
          <w:sz w:val="20"/>
        </w:rPr>
        <w:t xml:space="preserve">and </w:t>
      </w:r>
      <w:r>
        <w:rPr>
          <w:rFonts w:eastAsia="Times"/>
          <w:b/>
          <w:bCs/>
          <w:i/>
          <w:iCs/>
          <w:sz w:val="20"/>
        </w:rPr>
        <w:t>OP</w:t>
      </w:r>
    </w:p>
    <w:p w14:paraId="5759A1CE" w14:textId="5B5CDFD8" w:rsidR="006E1C52" w:rsidRPr="00B66EEB" w:rsidRDefault="006E1C52" w:rsidP="0051658B">
      <w:pPr>
        <w:pStyle w:val="References"/>
        <w:ind w:firstLine="0"/>
        <w:rPr>
          <w:sz w:val="20"/>
        </w:rPr>
      </w:pPr>
      <w:r>
        <w:rPr>
          <w:sz w:val="20"/>
        </w:rPr>
        <w:t xml:space="preserve">Equation (2) and the reference frame simplify when </w:t>
      </w:r>
      <m:oMath>
        <m:r>
          <w:rPr>
            <w:rFonts w:ascii="Cambria Math" w:hAnsi="Cambria Math"/>
            <w:szCs w:val="18"/>
          </w:rPr>
          <m:t>α+β=</m:t>
        </m:r>
        <m:f>
          <m:fPr>
            <m:type m:val="lin"/>
            <m:ctrlPr>
              <w:rPr>
                <w:rFonts w:ascii="Cambria Math" w:hAnsi="Cambria Math"/>
                <w:i/>
                <w:szCs w:val="18"/>
              </w:rPr>
            </m:ctrlPr>
          </m:fPr>
          <m:num>
            <m:r>
              <w:rPr>
                <w:rFonts w:ascii="Cambria Math" w:hAnsi="Cambria Math"/>
                <w:szCs w:val="18"/>
              </w:rPr>
              <m:t>π</m:t>
            </m:r>
          </m:num>
          <m:den>
            <m:r>
              <w:rPr>
                <w:rFonts w:ascii="Cambria Math" w:hAnsi="Cambria Math"/>
                <w:szCs w:val="18"/>
              </w:rPr>
              <m:t>2</m:t>
            </m:r>
          </m:den>
        </m:f>
      </m:oMath>
      <w:r>
        <w:rPr>
          <w:sz w:val="20"/>
        </w:rPr>
        <w:t xml:space="preserve">, and line </w:t>
      </w:r>
      <w:r>
        <w:rPr>
          <w:i/>
          <w:iCs/>
          <w:sz w:val="20"/>
        </w:rPr>
        <w:t>OF</w:t>
      </w:r>
      <w:r>
        <w:rPr>
          <w:sz w:val="20"/>
        </w:rPr>
        <w:t xml:space="preserve"> becomes </w:t>
      </w:r>
      <m:oMath>
        <m:r>
          <w:rPr>
            <w:rFonts w:ascii="Cambria Math" w:hAnsi="Cambria Math"/>
            <w:szCs w:val="18"/>
          </w:rPr>
          <m:t>a</m:t>
        </m:r>
        <m:rad>
          <m:radPr>
            <m:degHide m:val="1"/>
            <m:ctrlPr>
              <w:rPr>
                <w:rFonts w:ascii="Cambria Math" w:hAnsi="Cambria Math"/>
                <w:i/>
                <w:szCs w:val="18"/>
              </w:rPr>
            </m:ctrlPr>
          </m:radPr>
          <m:deg/>
          <m:e>
            <m:r>
              <w:rPr>
                <w:rFonts w:ascii="Cambria Math" w:hAnsi="Cambria Math"/>
                <w:szCs w:val="18"/>
              </w:rPr>
              <m:t>1-</m:t>
            </m:r>
            <m:sSup>
              <m:sSupPr>
                <m:ctrlPr>
                  <w:rPr>
                    <w:rFonts w:ascii="Cambria Math" w:hAnsi="Cambria Math"/>
                    <w:i/>
                    <w:szCs w:val="18"/>
                  </w:rPr>
                </m:ctrlPr>
              </m:sSupPr>
              <m:e>
                <m:r>
                  <w:rPr>
                    <w:rFonts w:ascii="Cambria Math" w:hAnsi="Cambria Math"/>
                    <w:szCs w:val="18"/>
                  </w:rPr>
                  <m:t>e</m:t>
                </m:r>
              </m:e>
              <m:sup>
                <m:r>
                  <w:rPr>
                    <w:rFonts w:ascii="Cambria Math" w:hAnsi="Cambria Math"/>
                    <w:szCs w:val="18"/>
                  </w:rPr>
                  <m:t>2</m:t>
                </m:r>
              </m:sup>
            </m:sSup>
          </m:e>
        </m:rad>
        <m:r>
          <w:rPr>
            <w:rFonts w:ascii="Cambria Math" w:hAnsi="Cambria Math"/>
            <w:szCs w:val="18"/>
          </w:rPr>
          <m:t>=</m:t>
        </m:r>
        <m:rad>
          <m:radPr>
            <m:degHide m:val="1"/>
            <m:ctrlPr>
              <w:rPr>
                <w:rFonts w:ascii="Cambria Math" w:hAnsi="Cambria Math"/>
                <w:i/>
                <w:szCs w:val="18"/>
              </w:rPr>
            </m:ctrlPr>
          </m:radPr>
          <m:deg/>
          <m:e>
            <m:r>
              <w:rPr>
                <w:rFonts w:ascii="Cambria Math" w:hAnsi="Cambria Math"/>
                <w:szCs w:val="18"/>
              </w:rPr>
              <m:t>ap</m:t>
            </m:r>
          </m:e>
        </m:rad>
      </m:oMath>
      <w:r>
        <w:rPr>
          <w:sz w:val="20"/>
        </w:rPr>
        <w:t xml:space="preserve"> . This 90</w:t>
      </w:r>
      <w:r>
        <w:rPr>
          <w:sz w:val="20"/>
          <w:vertAlign w:val="superscript"/>
        </w:rPr>
        <w:t>o</w:t>
      </w:r>
      <w:r>
        <w:rPr>
          <w:sz w:val="20"/>
        </w:rPr>
        <w:t xml:space="preserve"> apex angle is the central geometric result: it eliminates position-dependent terms from the frame and establishes the constant </w:t>
      </w:r>
      <m:oMath>
        <m:rad>
          <m:radPr>
            <m:degHide m:val="1"/>
            <m:ctrlPr>
              <w:rPr>
                <w:rFonts w:ascii="Cambria Math" w:hAnsi="Cambria Math"/>
                <w:i/>
                <w:sz w:val="20"/>
              </w:rPr>
            </m:ctrlPr>
          </m:radPr>
          <m:deg/>
          <m:e>
            <m:r>
              <w:rPr>
                <w:rFonts w:ascii="Cambria Math" w:hAnsi="Cambria Math"/>
                <w:sz w:val="20"/>
              </w:rPr>
              <m:t>ap</m:t>
            </m:r>
          </m:e>
        </m:rad>
      </m:oMath>
      <w:r>
        <w:rPr>
          <w:sz w:val="20"/>
        </w:rPr>
        <w:t xml:space="preserve"> as both a geometric length and a physical quantity that is perpendicular to the orbit plane and collinear with the angular momentum vector </w:t>
      </w:r>
      <w:r>
        <w:rPr>
          <w:b/>
          <w:bCs/>
          <w:i/>
          <w:iCs/>
          <w:sz w:val="20"/>
        </w:rPr>
        <w:t>h</w:t>
      </w:r>
      <w:r>
        <w:rPr>
          <w:sz w:val="20"/>
        </w:rPr>
        <w:t>.</w:t>
      </w:r>
    </w:p>
    <w:p w14:paraId="24A13753" w14:textId="77777777" w:rsidR="00BE3773" w:rsidRDefault="00BE3773" w:rsidP="006E1C52">
      <w:pPr>
        <w:pStyle w:val="References"/>
        <w:ind w:firstLine="0"/>
        <w:jc w:val="left"/>
      </w:pPr>
    </w:p>
    <w:p w14:paraId="57D43CAC" w14:textId="77777777" w:rsidR="00875771" w:rsidRDefault="00875771" w:rsidP="00AD025A">
      <w:pPr>
        <w:tabs>
          <w:tab w:val="left" w:pos="288"/>
        </w:tabs>
        <w:spacing w:after="120"/>
      </w:pPr>
      <w:r>
        <w:rPr>
          <w:b/>
        </w:rPr>
        <w:t>C.  The Fundamental Relationship.</w:t>
      </w:r>
      <w:r>
        <w:t xml:space="preserve"> </w:t>
      </w:r>
    </w:p>
    <w:p w14:paraId="0428844E" w14:textId="6CB478E8" w:rsidR="00BE3773" w:rsidRPr="00877BBB" w:rsidRDefault="00BE3773" w:rsidP="00875771">
      <w:pPr>
        <w:tabs>
          <w:tab w:val="left" w:pos="288"/>
        </w:tabs>
        <w:ind w:firstLine="288"/>
      </w:pPr>
      <w:r>
        <w:t>With the cone apex angle fixed at 90</w:t>
      </w:r>
      <w:r>
        <w:rPr>
          <w:vertAlign w:val="superscript"/>
        </w:rPr>
        <w:t>o</w:t>
      </w:r>
      <w:r>
        <w:t xml:space="preserve">, the right triangle formed by </w:t>
      </w:r>
      <w:r>
        <w:rPr>
          <w:i/>
          <w:iCs/>
        </w:rPr>
        <w:t>R</w:t>
      </w:r>
      <w:r>
        <w:t xml:space="preserve">, </w:t>
      </w:r>
      <w:r>
        <w:rPr>
          <w:i/>
          <w:iCs/>
        </w:rPr>
        <w:t>r</w:t>
      </w:r>
      <w:r>
        <w:t xml:space="preserve">, and </w:t>
      </w:r>
      <m:oMath>
        <m:rad>
          <m:radPr>
            <m:degHide m:val="1"/>
            <m:ctrlPr>
              <w:rPr>
                <w:rFonts w:ascii="Cambria Math" w:hAnsi="Cambria Math"/>
                <w:i/>
                <w:sz w:val="18"/>
                <w:szCs w:val="18"/>
              </w:rPr>
            </m:ctrlPr>
          </m:radPr>
          <m:deg/>
          <m:e>
            <m:r>
              <w:rPr>
                <w:rFonts w:ascii="Cambria Math" w:hAnsi="Cambria Math"/>
                <w:sz w:val="18"/>
                <w:szCs w:val="18"/>
              </w:rPr>
              <m:t>ap</m:t>
            </m:r>
          </m:e>
        </m:rad>
      </m:oMath>
      <w:r>
        <w:t xml:space="preserve"> at any point in the orbit has the relationship:</w:t>
      </w:r>
    </w:p>
    <w:p w14:paraId="21685471" w14:textId="010CBFCF" w:rsidR="00BE3773" w:rsidRPr="00877BBB" w:rsidRDefault="00EE565C" w:rsidP="00981100">
      <w:pPr>
        <w:pStyle w:val="Equation"/>
      </w:pPr>
      <w:r>
        <w:rPr>
          <w:position w:val="-7"/>
        </w:rPr>
        <w:drawing>
          <wp:inline distT="0" distB="0" distL="0" distR="0" wp14:anchorId="61271C6C" wp14:editId="0D62D48E">
            <wp:extent cx="676275" cy="138723"/>
            <wp:effectExtent l="0" t="0" r="0" b="0"/>
            <wp:docPr id="1359723068" name="Picture 1359723068" descr="{&quot;mathml&quot;:&quot;&lt;math style=\&quot;font-family:stix;font-size:16px;\&quot; xmlns=\&quot;http://www.w3.org/1998/Math/MathML\&quot;&gt;&lt;msup&gt;&lt;mi&gt;R&lt;/mi&gt;&lt;mn&gt;2&lt;/mn&gt;&lt;/msup&gt;&lt;mo&gt;=&lt;/mo&gt;&lt;msup&gt;&lt;mi&gt;r&lt;/mi&gt;&lt;mn&gt;2&lt;/mn&gt;&lt;/msup&gt;&lt;mo&gt;+&lt;/mo&gt;&lt;mi&gt;a&lt;/mi&gt;&lt;mi&gt;p&lt;/mi&gt;&lt;/math&gt;&quot;,&quot;origin&quot;:&quot;MathType Legacy&quot;,&quot;version&quot;:&quot;v3.26.0&quot;}" title="R squared equals r squared plus a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p&gt;&lt;mi&gt;R&lt;/mi&gt;&lt;mn&gt;2&lt;/mn&gt;&lt;/msup&gt;&lt;mo&gt;=&lt;/mo&gt;&lt;msup&gt;&lt;mi&gt;r&lt;/mi&gt;&lt;mn&gt;2&lt;/mn&gt;&lt;/msup&gt;&lt;mo&gt;+&lt;/mo&gt;&lt;mi&gt;a&lt;/mi&gt;&lt;mi&gt;p&lt;/mi&gt;&lt;/math&gt;&quot;,&quot;origin&quot;:&quot;MathType Legacy&quot;,&quot;version&quot;:&quot;v3.26.0&quot;}" title="R squared equals r squared plus a p"/>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00687" cy="143731"/>
                    </a:xfrm>
                    <a:prstGeom prst="rect">
                      <a:avLst/>
                    </a:prstGeom>
                  </pic:spPr>
                </pic:pic>
              </a:graphicData>
            </a:graphic>
          </wp:inline>
        </w:drawing>
      </w:r>
      <w:r>
        <w:t xml:space="preserve">                                                                            </w:t>
      </w:r>
      <w:r>
        <w:rPr>
          <w:color w:val="auto"/>
        </w:rPr>
        <w:t xml:space="preserve">(3) </w:t>
      </w:r>
    </w:p>
    <w:p w14:paraId="3A7C3E0E" w14:textId="063DF47B" w:rsidR="00BE3773" w:rsidRDefault="00364F44" w:rsidP="00BE3773">
      <w:pPr>
        <w:spacing w:before="100" w:beforeAutospacing="1" w:after="100" w:afterAutospacing="1"/>
      </w:pPr>
      <w:r>
        <w:t xml:space="preserve">The quantity </w:t>
      </w:r>
      <m:oMath>
        <m:rad>
          <m:radPr>
            <m:degHide m:val="1"/>
            <m:ctrlPr>
              <w:rPr>
                <w:rFonts w:ascii="Cambria Math" w:hAnsi="Cambria Math"/>
                <w:i/>
                <w:sz w:val="18"/>
                <w:szCs w:val="18"/>
              </w:rPr>
            </m:ctrlPr>
          </m:radPr>
          <m:deg/>
          <m:e>
            <m:r>
              <w:rPr>
                <w:rFonts w:ascii="Cambria Math" w:hAnsi="Cambria Math"/>
                <w:sz w:val="18"/>
                <w:szCs w:val="18"/>
              </w:rPr>
              <m:t>ap</m:t>
            </m:r>
          </m:e>
        </m:rad>
      </m:oMath>
      <w:r>
        <w:t xml:space="preserve"> is an orbital constant for a given eccentricity, just as the total specific mechanical energy </w:t>
      </w:r>
      <m:oMath>
        <m:r>
          <w:rPr>
            <w:rFonts w:ascii="Cambria Math" w:hAnsi="Cambria Math"/>
            <w:sz w:val="18"/>
            <w:szCs w:val="18"/>
          </w:rPr>
          <m:t>-</m:t>
        </m:r>
        <m:f>
          <m:fPr>
            <m:type m:val="lin"/>
            <m:ctrlPr>
              <w:rPr>
                <w:rFonts w:ascii="Cambria Math" w:hAnsi="Cambria Math"/>
                <w:i/>
                <w:sz w:val="18"/>
                <w:szCs w:val="18"/>
              </w:rPr>
            </m:ctrlPr>
          </m:fPr>
          <m:num>
            <m:r>
              <w:rPr>
                <w:rFonts w:ascii="Cambria Math" w:hAnsi="Cambria Math"/>
                <w:sz w:val="18"/>
                <w:szCs w:val="18"/>
              </w:rPr>
              <m:t>μ</m:t>
            </m:r>
          </m:num>
          <m:den>
            <m:r>
              <w:rPr>
                <w:rFonts w:ascii="Cambria Math" w:hAnsi="Cambria Math"/>
                <w:sz w:val="18"/>
                <w:szCs w:val="18"/>
              </w:rPr>
              <m:t>2a</m:t>
            </m:r>
          </m:den>
        </m:f>
      </m:oMath>
      <w:r>
        <w:t xml:space="preserve">   is constant. </w:t>
      </w:r>
    </w:p>
    <w:p w14:paraId="6E01DEF1" w14:textId="77777777" w:rsidR="00D819BB" w:rsidRDefault="00D819BB" w:rsidP="00BE3773">
      <w:pPr>
        <w:spacing w:before="100" w:beforeAutospacing="1" w:after="100" w:afterAutospacing="1"/>
      </w:pPr>
    </w:p>
    <w:p w14:paraId="28AC94DD" w14:textId="77777777" w:rsidR="00D819BB" w:rsidRPr="00877BBB" w:rsidRDefault="00D819BB" w:rsidP="00BE3773">
      <w:pPr>
        <w:spacing w:before="100" w:beforeAutospacing="1" w:after="100" w:afterAutospacing="1"/>
      </w:pPr>
    </w:p>
    <w:p w14:paraId="4B65721B" w14:textId="77777777" w:rsidR="00875771" w:rsidRDefault="00875771" w:rsidP="00AD025A">
      <w:pPr>
        <w:tabs>
          <w:tab w:val="left" w:pos="288"/>
        </w:tabs>
        <w:spacing w:after="120"/>
      </w:pPr>
      <w:r>
        <w:rPr>
          <w:b/>
          <w:bCs/>
        </w:rPr>
        <w:t>D.  Families of Elliptical Orbits.</w:t>
      </w:r>
      <w:r>
        <w:t xml:space="preserve"> </w:t>
      </w:r>
    </w:p>
    <w:p w14:paraId="0DD7598B" w14:textId="221B4762" w:rsidR="00BC0376" w:rsidRDefault="00BE3773" w:rsidP="00875771">
      <w:pPr>
        <w:tabs>
          <w:tab w:val="left" w:pos="288"/>
        </w:tabs>
        <w:ind w:firstLine="288"/>
      </w:pPr>
      <w:r>
        <w:t>A family of elliptic orbits with the same total energy but varying eccentricity can be described in the conical reference frame between the limiting cases of a circular orbit (</w:t>
      </w:r>
      <w:r>
        <w:rPr>
          <w:i/>
          <w:iCs/>
        </w:rPr>
        <w:t>e</w:t>
      </w:r>
      <w:r>
        <w:t xml:space="preserve"> = 0) and a rectilinear trajectory (</w:t>
      </w:r>
      <w:r>
        <w:rPr>
          <w:i/>
          <w:iCs/>
        </w:rPr>
        <w:t>e</w:t>
      </w:r>
      <w:r>
        <w:t xml:space="preserve"> → 1). Figure 5 depicts this family from an edge view. All orbits in the family share the same major axis value, 2</w:t>
      </w:r>
      <w:r>
        <w:rPr>
          <w:i/>
          <w:iCs/>
        </w:rPr>
        <w:t>a</w:t>
      </w:r>
      <w:r>
        <w:t>, and the conic section angle relative to the cone axis depends on the eccentricity. Within the spherical and conical reference frames described, we have upper and lower nappes of the conical geometry. An orbit in the upper nappe shown in Fig. 5 has an equivalent geometric construction in the lower nappe. The dotted lines display this equivalent configuration.</w:t>
      </w:r>
    </w:p>
    <w:p w14:paraId="4E09D85E" w14:textId="77777777" w:rsidR="005873CE" w:rsidRDefault="005873CE" w:rsidP="00875771">
      <w:pPr>
        <w:tabs>
          <w:tab w:val="left" w:pos="288"/>
        </w:tabs>
        <w:ind w:firstLine="288"/>
      </w:pPr>
    </w:p>
    <w:p w14:paraId="1992D3E8" w14:textId="77777777" w:rsidR="00F36DBF" w:rsidRDefault="007669DC" w:rsidP="00487243">
      <w:pPr>
        <w:tabs>
          <w:tab w:val="left" w:pos="288"/>
        </w:tabs>
        <w:ind w:firstLine="288"/>
        <w:jc w:val="center"/>
      </w:pPr>
      <w:r>
        <w:rPr>
          <w:noProof/>
        </w:rPr>
        <w:drawing>
          <wp:inline distT="0" distB="0" distL="0" distR="0" wp14:anchorId="586C3D7B" wp14:editId="27DF7BC7">
            <wp:extent cx="2191174" cy="2141750"/>
            <wp:effectExtent l="0" t="0" r="0" b="0"/>
            <wp:docPr id="84621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17673" name=""/>
                    <pic:cNvPicPr/>
                  </pic:nvPicPr>
                  <pic:blipFill>
                    <a:blip r:embed="rId17"/>
                    <a:stretch>
                      <a:fillRect/>
                    </a:stretch>
                  </pic:blipFill>
                  <pic:spPr>
                    <a:xfrm>
                      <a:off x="0" y="0"/>
                      <a:ext cx="2208477" cy="2158663"/>
                    </a:xfrm>
                    <a:prstGeom prst="rect">
                      <a:avLst/>
                    </a:prstGeom>
                  </pic:spPr>
                </pic:pic>
              </a:graphicData>
            </a:graphic>
          </wp:inline>
        </w:drawing>
      </w:r>
    </w:p>
    <w:p w14:paraId="30D83DC7" w14:textId="77777777" w:rsidR="007669DC" w:rsidRDefault="007669DC" w:rsidP="00487243">
      <w:pPr>
        <w:tabs>
          <w:tab w:val="left" w:pos="288"/>
        </w:tabs>
        <w:ind w:firstLine="288"/>
        <w:jc w:val="center"/>
      </w:pPr>
    </w:p>
    <w:p w14:paraId="72C6D49B" w14:textId="61F1A639" w:rsidR="00F36DBF" w:rsidRDefault="00F36DBF" w:rsidP="00F36DBF">
      <w:pPr>
        <w:pStyle w:val="References"/>
        <w:jc w:val="center"/>
        <w:rPr>
          <w:rFonts w:eastAsia="Times"/>
          <w:b/>
          <w:bCs/>
          <w:sz w:val="20"/>
        </w:rPr>
      </w:pPr>
      <w:r>
        <w:rPr>
          <w:rFonts w:eastAsia="Times"/>
          <w:b/>
          <w:bCs/>
          <w:sz w:val="20"/>
        </w:rPr>
        <w:t xml:space="preserve">Fig. 5   Elliptical Orbits in Edge View with Equal Total Energy </w:t>
      </w:r>
    </w:p>
    <w:p w14:paraId="50D72BEE" w14:textId="77777777" w:rsidR="00336F42" w:rsidRDefault="00336F42" w:rsidP="00F36DBF">
      <w:pPr>
        <w:pStyle w:val="References"/>
        <w:jc w:val="center"/>
        <w:rPr>
          <w:rFonts w:eastAsia="Times"/>
          <w:b/>
          <w:bCs/>
          <w:sz w:val="20"/>
        </w:rPr>
      </w:pPr>
    </w:p>
    <w:p w14:paraId="69BD1968" w14:textId="7583DBAB" w:rsidR="00336F42" w:rsidRPr="00026881" w:rsidRDefault="00336F42" w:rsidP="00336F42">
      <w:pPr>
        <w:tabs>
          <w:tab w:val="left" w:pos="288"/>
        </w:tabs>
        <w:ind w:firstLine="288"/>
        <w:rPr>
          <w:color w:val="000000" w:themeColor="text1"/>
        </w:rPr>
      </w:pPr>
      <w:r>
        <w:t xml:space="preserve">At intermediate eccentricities, the orbits exhibit rotational motion about the cone axis; as </w:t>
      </w:r>
      <w:r>
        <w:rPr>
          <w:i/>
          <w:iCs/>
        </w:rPr>
        <w:t>e</w:t>
      </w:r>
      <w:r>
        <w:t xml:space="preserve"> → 1, the semi-latus rectum </w:t>
      </w:r>
      <w:r>
        <w:rPr>
          <w:i/>
          <w:iCs/>
        </w:rPr>
        <w:t>p</w:t>
      </w:r>
      <w:r>
        <w:t xml:space="preserve"> → 0, and </w:t>
      </w:r>
      <w:r>
        <w:rPr>
          <w:i/>
          <w:iCs/>
        </w:rPr>
        <w:t>R</w:t>
      </w:r>
      <w:r>
        <w:t xml:space="preserve"> = </w:t>
      </w:r>
      <w:r>
        <w:rPr>
          <w:i/>
          <w:iCs/>
        </w:rPr>
        <w:t>r</w:t>
      </w:r>
      <w:r>
        <w:t>, recovering the rectilinear case in which the orbital plane lies along a generator of the cone. Rectilinear trajectories represent a physically realizable limiting case, straight-line paths between two bodies under gravity, and Vallado recognizes them for each orbit type</w:t>
      </w:r>
      <w:r>
        <w:rPr>
          <w:color w:val="000000" w:themeColor="text1"/>
        </w:rPr>
        <w:t>.[5]</w:t>
      </w:r>
    </w:p>
    <w:p w14:paraId="1684A3B8" w14:textId="77777777" w:rsidR="00336F42" w:rsidRDefault="00336F42" w:rsidP="00336F42">
      <w:pPr>
        <w:pStyle w:val="References"/>
        <w:jc w:val="center"/>
      </w:pPr>
      <w:r>
        <w:rPr>
          <w:sz w:val="20"/>
        </w:rPr>
        <w:t xml:space="preserve">  </w:t>
      </w:r>
    </w:p>
    <w:p w14:paraId="798983C3" w14:textId="77777777" w:rsidR="00875771" w:rsidRDefault="00875771" w:rsidP="00AD025A">
      <w:pPr>
        <w:tabs>
          <w:tab w:val="left" w:pos="288"/>
        </w:tabs>
        <w:spacing w:after="120"/>
      </w:pPr>
      <w:r>
        <w:rPr>
          <w:b/>
          <w:bCs/>
        </w:rPr>
        <w:t>E.  Orbital Plane Orientation and the Conical Frame.</w:t>
      </w:r>
      <w:r>
        <w:t xml:space="preserve"> </w:t>
      </w:r>
    </w:p>
    <w:p w14:paraId="2B90B957" w14:textId="61554C48" w:rsidR="002706CE" w:rsidRDefault="00BE3773" w:rsidP="00875771">
      <w:pPr>
        <w:tabs>
          <w:tab w:val="left" w:pos="288"/>
        </w:tabs>
        <w:ind w:firstLine="288"/>
      </w:pPr>
      <w:r>
        <w:t>The conical reference frame employs a Cartesian coordinate system (x, y, z) with the z-axis coinciding with the cone centerline. The angular momentum vector (</w:t>
      </w:r>
      <m:oMath>
        <m:r>
          <w:rPr>
            <w:rFonts w:ascii="Cambria Math" w:hAnsi="Cambria Math"/>
          </w:rPr>
          <m:t>h=rxv</m:t>
        </m:r>
      </m:oMath>
      <w:r>
        <w:rPr>
          <w:b/>
          <w:bCs/>
        </w:rPr>
        <w:t>)</w:t>
      </w:r>
      <w:r>
        <w:t xml:space="preserve"> lies on the line from the apex to point </w:t>
      </w:r>
      <w:r>
        <w:rPr>
          <w:i/>
          <w:iCs/>
        </w:rPr>
        <w:t>F</w:t>
      </w:r>
      <w:r>
        <w:t xml:space="preserve"> and remains fixed in inertial space for Keplerian motion. The orbital plane intersects the cone at an angle determined by the eccentricity, and line </w:t>
      </w:r>
      <m:oMath>
        <m:r>
          <w:rPr>
            <w:rFonts w:ascii="Cambria Math" w:hAnsi="Cambria Math"/>
            <w:sz w:val="18"/>
            <w:szCs w:val="18"/>
          </w:rPr>
          <m:t>OF</m:t>
        </m:r>
        <m:r>
          <m:rPr>
            <m:sty m:val="p"/>
          </m:rPr>
          <w:rPr>
            <w:rFonts w:ascii="Cambria Math" w:hAnsi="Cambria Math"/>
            <w:sz w:val="18"/>
            <w:szCs w:val="18"/>
          </w:rPr>
          <m:t>=</m:t>
        </m:r>
        <m:rad>
          <m:radPr>
            <m:degHide m:val="1"/>
            <m:ctrlPr>
              <w:rPr>
                <w:rFonts w:ascii="Cambria Math" w:hAnsi="Cambria Math"/>
                <w:sz w:val="18"/>
                <w:szCs w:val="18"/>
              </w:rPr>
            </m:ctrlPr>
          </m:radPr>
          <m:deg/>
          <m:e>
            <m:r>
              <w:rPr>
                <w:rFonts w:ascii="Cambria Math" w:hAnsi="Cambria Math"/>
                <w:sz w:val="18"/>
                <w:szCs w:val="18"/>
              </w:rPr>
              <m:t>ap</m:t>
            </m:r>
          </m:e>
        </m:rad>
      </m:oMath>
      <w:r>
        <w:t xml:space="preserve"> is the perpendicular distance from the apex to this plane. As shown in Fig. 2, the classical parameters of the orbit apply, and the conical parameters R and Q are sufficient to identify the satellite position since the apex angle is fixed at 90 degrees. Figure 3 shows the relationship between R and the component perpendicular to designated </w:t>
      </w:r>
      <w:r>
        <w:rPr>
          <w:i/>
          <w:iCs/>
        </w:rPr>
        <w:t>R</w:t>
      </w:r>
      <w:r>
        <w:t xml:space="preserve">'. The magnitude of </w:t>
      </w:r>
      <w:r>
        <w:rPr>
          <w:i/>
          <w:iCs/>
          <w:sz w:val="18"/>
          <w:szCs w:val="18"/>
        </w:rPr>
        <w:t>R</w:t>
      </w:r>
      <w:r>
        <w:rPr>
          <w:sz w:val="18"/>
          <w:szCs w:val="18"/>
        </w:rPr>
        <w:t>'</w:t>
      </w:r>
      <w:r>
        <w:t xml:space="preserve"> is </w:t>
      </w:r>
      <m:oMath>
        <m:f>
          <m:fPr>
            <m:type m:val="lin"/>
            <m:ctrlPr>
              <w:rPr>
                <w:rFonts w:ascii="Cambria Math" w:hAnsi="Cambria Math"/>
                <w:i/>
                <w:sz w:val="18"/>
                <w:szCs w:val="18"/>
              </w:rPr>
            </m:ctrlPr>
          </m:fPr>
          <m:num>
            <m:r>
              <w:rPr>
                <w:rFonts w:ascii="Cambria Math" w:hAnsi="Cambria Math"/>
                <w:sz w:val="18"/>
                <w:szCs w:val="18"/>
              </w:rPr>
              <m:t>R</m:t>
            </m:r>
          </m:num>
          <m:den>
            <m:rad>
              <m:radPr>
                <m:degHide m:val="1"/>
                <m:ctrlPr>
                  <w:rPr>
                    <w:rFonts w:ascii="Cambria Math" w:hAnsi="Cambria Math"/>
                    <w:i/>
                    <w:sz w:val="18"/>
                    <w:szCs w:val="18"/>
                  </w:rPr>
                </m:ctrlPr>
              </m:radPr>
              <m:deg/>
              <m:e>
                <m:r>
                  <w:rPr>
                    <w:rFonts w:ascii="Cambria Math" w:hAnsi="Cambria Math"/>
                    <w:sz w:val="18"/>
                    <w:szCs w:val="18"/>
                  </w:rPr>
                  <m:t>2</m:t>
                </m:r>
              </m:e>
            </m:rad>
          </m:den>
        </m:f>
      </m:oMath>
      <w:r>
        <w:t xml:space="preserve"> for the 90-degree cone. This geometric arrangement allows complete three-dimensional orbital motion to be decomposed into two components: motion along the cone surface characterized by </w:t>
      </w:r>
      <w:r>
        <w:rPr>
          <w:i/>
          <w:iCs/>
        </w:rPr>
        <w:t>R</w:t>
      </w:r>
      <w:r>
        <w:t xml:space="preserve">, and rotation about the cone axis characterized by angle </w:t>
      </w:r>
      <w:r>
        <w:rPr>
          <w:i/>
          <w:iCs/>
        </w:rPr>
        <w:t>Θ</w:t>
      </w:r>
      <w:r>
        <w:t>. Equation (4) is a corollary to Eq. (3),</w:t>
      </w:r>
    </w:p>
    <w:p w14:paraId="6A230EDA" w14:textId="77777777" w:rsidR="002D1798" w:rsidRDefault="002D1798" w:rsidP="002706CE">
      <w:pPr>
        <w:tabs>
          <w:tab w:val="left" w:pos="288"/>
        </w:tabs>
      </w:pPr>
    </w:p>
    <w:p w14:paraId="5DFDAFA3" w14:textId="24942115" w:rsidR="002D1798" w:rsidRDefault="0079423C" w:rsidP="002D1798">
      <w:pPr>
        <w:tabs>
          <w:tab w:val="left" w:pos="288"/>
        </w:tabs>
        <w:jc w:val="right"/>
      </w:pPr>
      <w:r>
        <w:rPr>
          <w:noProof/>
          <w:position w:val="-28"/>
        </w:rPr>
        <w:drawing>
          <wp:inline distT="0" distB="0" distL="0" distR="0" wp14:anchorId="3B3BA712" wp14:editId="39DEA6E3">
            <wp:extent cx="1000125" cy="300433"/>
            <wp:effectExtent l="0" t="0" r="0" b="4445"/>
            <wp:docPr id="1611274279" name="Picture 1611274279" descr="{&quot;mathml&quot;:&quot;&lt;math style=\&quot;font-family:stix;font-size:16px;\&quot; xmlns=\&quot;http://www.w3.org/1998/Math/MathML\&quot; xmlns:wrs=\&quot;http://www.wiris.com/xml/mathml-extension\&quot;&gt;&lt;msup&gt;&lt;msup&gt;&lt;mi&gt;R&lt;/mi&gt;&lt;mo&gt;'&lt;/mo&gt;&lt;/msup&gt;&lt;mn&gt;2&lt;/mn&gt;&lt;/msup&gt;&lt;mo&gt;=&lt;/mo&gt;&lt;mfrac&gt;&lt;mn&gt;1&lt;/mn&gt;&lt;mn&gt;2&lt;/mn&gt;&lt;/mfrac&gt;&lt;mfenced wrs:valign=\&quot;middle\&quot;&gt;&lt;mrow&gt;&lt;msup&gt;&lt;mi&gt;r&lt;/mi&gt;&lt;mn&gt;2&lt;/mn&gt;&lt;/msup&gt;&lt;mo&gt;+&lt;/mo&gt;&lt;mi&gt;a&lt;/mi&gt;&lt;mi&gt;p&lt;/mi&gt;&lt;/mrow&gt;&lt;/mfenced&gt;&lt;/math&gt;&quot;,&quot;origin&quot;:&quot;MathType Legacy&quot;,&quot;version&quot;:&quot;v3.26.0&quot;}" title="R to the power of apostrophe squared equals 1 half open parentheses r squared plus a p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 xmlns:wrs=\&quot;http://www.wiris.com/xml/mathml-extension\&quot;&gt;&lt;msup&gt;&lt;msup&gt;&lt;mi&gt;R&lt;/mi&gt;&lt;mo&gt;'&lt;/mo&gt;&lt;/msup&gt;&lt;mn&gt;2&lt;/mn&gt;&lt;/msup&gt;&lt;mo&gt;=&lt;/mo&gt;&lt;mfrac&gt;&lt;mn&gt;1&lt;/mn&gt;&lt;mn&gt;2&lt;/mn&gt;&lt;/mfrac&gt;&lt;mfenced wrs:valign=\&quot;middle\&quot;&gt;&lt;mrow&gt;&lt;msup&gt;&lt;mi&gt;r&lt;/mi&gt;&lt;mn&gt;2&lt;/mn&gt;&lt;/msup&gt;&lt;mo&gt;+&lt;/mo&gt;&lt;mi&gt;a&lt;/mi&gt;&lt;mi&gt;p&lt;/mi&gt;&lt;/mrow&gt;&lt;/mfenced&gt;&lt;/math&gt;&quot;,&quot;origin&quot;:&quot;MathType Legacy&quot;,&quot;version&quot;:&quot;v3.26.0&quot;}" title="R to the power of apostrophe squared equals 1 half open parentheses r squared plus a p close parenthese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17553" cy="305668"/>
                    </a:xfrm>
                    <a:prstGeom prst="rect">
                      <a:avLst/>
                    </a:prstGeom>
                  </pic:spPr>
                </pic:pic>
              </a:graphicData>
            </a:graphic>
          </wp:inline>
        </w:drawing>
      </w:r>
      <w:r>
        <w:t xml:space="preserve">                                                                         (4)</w:t>
      </w:r>
    </w:p>
    <w:p w14:paraId="6847F660" w14:textId="77777777" w:rsidR="003243E0" w:rsidRDefault="00BC0376" w:rsidP="0076346A">
      <w:pPr>
        <w:keepNext/>
        <w:numPr>
          <w:ilvl w:val="0"/>
          <w:numId w:val="2"/>
        </w:numPr>
        <w:tabs>
          <w:tab w:val="num" w:pos="180"/>
        </w:tabs>
        <w:spacing w:before="240" w:after="60"/>
        <w:ind w:left="180" w:hanging="180"/>
        <w:jc w:val="center"/>
        <w:outlineLvl w:val="0"/>
        <w:rPr>
          <w:b/>
          <w:kern w:val="32"/>
          <w:sz w:val="22"/>
        </w:rPr>
      </w:pPr>
      <w:r>
        <w:rPr>
          <w:b/>
          <w:kern w:val="32"/>
          <w:sz w:val="22"/>
        </w:rPr>
        <w:t>Gauss’s Law</w:t>
      </w:r>
    </w:p>
    <w:p w14:paraId="04DB4310" w14:textId="018CBC66" w:rsidR="00E63BA1" w:rsidRPr="0034616D" w:rsidRDefault="00E63BA1" w:rsidP="002054AD">
      <w:pPr>
        <w:tabs>
          <w:tab w:val="left" w:pos="288"/>
        </w:tabs>
        <w:ind w:firstLine="288"/>
      </w:pPr>
      <w:r>
        <w:t xml:space="preserve">Gauss's law for gravitation states that the total normal outward gravitational flux through a closed surface equals </w:t>
      </w:r>
      <m:oMath>
        <m:r>
          <w:rPr>
            <w:rFonts w:ascii="Cambria Math" w:hAnsi="Cambria Math"/>
          </w:rPr>
          <m:t>-4πG</m:t>
        </m:r>
      </m:oMath>
      <w:r>
        <w:t xml:space="preserve"> times the enclosed mass [7, 8]. For a single body of mass </w:t>
      </w:r>
      <w:r>
        <w:rPr>
          <w:i/>
          <w:iCs/>
        </w:rPr>
        <w:t>M</w:t>
      </w:r>
      <w:r>
        <w:t xml:space="preserve">, substituting </w:t>
      </w:r>
      <m:oMath>
        <m:r>
          <w:rPr>
            <w:rFonts w:ascii="Cambria Math" w:hAnsi="Cambria Math"/>
            <w:sz w:val="18"/>
            <w:szCs w:val="18"/>
          </w:rPr>
          <m:t>μ=GM</m:t>
        </m:r>
      </m:oMath>
      <w:r>
        <w:t xml:space="preserve"> gives</w:t>
      </w:r>
    </w:p>
    <w:p w14:paraId="6AA85CF4" w14:textId="0478D7CD" w:rsidR="00E63BA1" w:rsidRPr="0034616D" w:rsidRDefault="0079423C" w:rsidP="00026881">
      <w:pPr>
        <w:spacing w:before="100" w:beforeAutospacing="1" w:after="100" w:afterAutospacing="1"/>
        <w:jc w:val="right"/>
      </w:pPr>
      <w:r>
        <w:rPr>
          <w:noProof/>
          <w:position w:val="-20"/>
        </w:rPr>
        <w:drawing>
          <wp:inline distT="0" distB="0" distL="0" distR="0" wp14:anchorId="34013C45" wp14:editId="5A84F603">
            <wp:extent cx="1047750" cy="325998"/>
            <wp:effectExtent l="0" t="0" r="0" b="0"/>
            <wp:docPr id="4867611" name="Picture 4867611" descr="{&quot;mathml&quot;:&quot;&lt;math style=\&quot;font-family:stix;font-size:16px;\&quot; xmlns=\&quot;http://www.w3.org/1998/Math/MathML\&quot;&gt;&lt;mo&gt;&amp;#x222B;&lt;/mo&gt;&lt;mi&gt;g&lt;/mi&gt;&lt;mo&gt;&amp;#xA0;&lt;/mo&gt;&lt;mi&gt;d&lt;/mi&gt;&lt;mi&gt;A&lt;/mi&gt;&lt;mo&gt;&amp;#xA0;&lt;/mo&gt;&lt;mo&gt;=&lt;/mo&gt;&lt;mo&gt;&amp;#xA0;&lt;/mo&gt;&lt;mo&gt;&amp;#x2212;&lt;/mo&gt;&lt;mn&gt;4&lt;/mn&gt;&lt;mi&gt;&amp;#x3C0;&lt;/mi&gt;&lt;mi&gt;&amp;#x3BC;&lt;/mi&gt;&lt;/math&gt;&quot;,&quot;origin&quot;:&quot;MathType Legacy&quot;,&quot;version&quot;:&quot;v3.26.0&quot;}" title="integral g space d A space equals space minus 4 pi 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o&gt;&amp;#x222B;&lt;/mo&gt;&lt;mi&gt;g&lt;/mi&gt;&lt;mo&gt;&amp;#xA0;&lt;/mo&gt;&lt;mi&gt;d&lt;/mi&gt;&lt;mi&gt;A&lt;/mi&gt;&lt;mo&gt;&amp;#xA0;&lt;/mo&gt;&lt;mo&gt;=&lt;/mo&gt;&lt;mo&gt;&amp;#xA0;&lt;/mo&gt;&lt;mo&gt;&amp;#x2212;&lt;/mo&gt;&lt;mn&gt;4&lt;/mn&gt;&lt;mi&gt;&amp;#x3C0;&lt;/mi&gt;&lt;mi&gt;&amp;#x3BC;&lt;/mi&gt;&lt;/math&gt;&quot;,&quot;origin&quot;:&quot;MathType Legacy&quot;,&quot;version&quot;:&quot;v3.26.0&quot;}" title="integral g space d A space equals space minus 4 pi mu"/>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60979" cy="330114"/>
                    </a:xfrm>
                    <a:prstGeom prst="rect">
                      <a:avLst/>
                    </a:prstGeom>
                  </pic:spPr>
                </pic:pic>
              </a:graphicData>
            </a:graphic>
          </wp:inline>
        </w:drawing>
      </w:r>
      <w:r>
        <w:t xml:space="preserve">                                                                           (5)</w:t>
      </w:r>
    </w:p>
    <w:p w14:paraId="4AA32082" w14:textId="41CA8C28" w:rsidR="002054AD" w:rsidRDefault="00E63BA1" w:rsidP="002054AD">
      <w:r>
        <w:t xml:space="preserve">where </w:t>
      </w:r>
      <w:r>
        <w:rPr>
          <w:b/>
          <w:bCs/>
          <w:i/>
          <w:iCs/>
        </w:rPr>
        <w:t>g</w:t>
      </w:r>
      <w:r>
        <w:t xml:space="preserve"> is the gravitational acceleration and </w:t>
      </w:r>
      <w:r>
        <w:rPr>
          <w:b/>
          <w:bCs/>
          <w:i/>
          <w:iCs/>
        </w:rPr>
        <w:t>n</w:t>
      </w:r>
      <w:r>
        <w:t xml:space="preserve"> is the outward unit normal on the Gaussian surface. For a sphere of radius </w:t>
      </w:r>
      <w:r>
        <w:rPr>
          <w:i/>
          <w:iCs/>
        </w:rPr>
        <w:t>R</w:t>
      </w:r>
      <w:r>
        <w:t xml:space="preserve"> centered on </w:t>
      </w:r>
      <w:r>
        <w:rPr>
          <w:i/>
          <w:iCs/>
        </w:rPr>
        <w:t>M</w:t>
      </w:r>
      <w:r>
        <w:t xml:space="preserve">, the field magnitude is </w:t>
      </w:r>
      <m:oMath>
        <m:r>
          <w:rPr>
            <w:rFonts w:ascii="Cambria Math" w:hAnsi="Cambria Math"/>
          </w:rPr>
          <m:t>μ/</m:t>
        </m:r>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and the surface area is </w:t>
      </w:r>
      <m:oMath>
        <m:r>
          <w:rPr>
            <w:rFonts w:ascii="Cambria Math" w:hAnsi="Cambria Math"/>
          </w:rPr>
          <m:t>4π</m:t>
        </m:r>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so the integrand is constant and the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factors cancel identically, confirming that the flux is </w:t>
      </w:r>
      <m:oMath>
        <m:r>
          <w:rPr>
            <w:rFonts w:ascii="Cambria Math" w:hAnsi="Cambria Math"/>
          </w:rPr>
          <m:t>-4πμ</m:t>
        </m:r>
      </m:oMath>
      <w:r>
        <w:t xml:space="preserve">  regardless of sphere size.</w:t>
      </w:r>
    </w:p>
    <w:p w14:paraId="354668BC" w14:textId="519F5B5A" w:rsidR="00E63BA1" w:rsidRPr="000616DF" w:rsidRDefault="00E63BA1" w:rsidP="000616DF">
      <w:pPr>
        <w:tabs>
          <w:tab w:val="left" w:pos="288"/>
        </w:tabs>
        <w:ind w:firstLine="288"/>
      </w:pPr>
      <w:r>
        <w:t xml:space="preserve">Three properties of Gauss's theorem are relevant to the conical framework. First, the enclosed mass must lie within the Gaussian surface; this paper limits application to the two-body problem, and the primary body at focus </w:t>
      </w:r>
      <w:r>
        <w:rPr>
          <w:i/>
          <w:iCs/>
        </w:rPr>
        <w:t>F</w:t>
      </w:r>
      <w:r>
        <w:t xml:space="preserve"> remains enclosed for all orbital positions. Second, the theorem places no constraint on where within the surface the mass sits, so the flux argument holds across the full eccentricity range </w:t>
      </w:r>
      <m:oMath>
        <m:r>
          <w:rPr>
            <w:rFonts w:ascii="Cambria Math" w:hAnsi="Cambria Math"/>
          </w:rPr>
          <m:t>0&lt;e&lt;1</m:t>
        </m:r>
      </m:oMath>
      <w:r>
        <w:t xml:space="preserve"> without modification as </w:t>
      </w:r>
      <w:r>
        <w:rPr>
          <w:i/>
          <w:iCs/>
        </w:rPr>
        <w:t>F</w:t>
      </w:r>
      <w:r>
        <w:t xml:space="preserve"> moves along the major axis. Third, flux is independent of the shape and size of the Gaussian surface, permitting non-spherical geometries. This third property is the operative one for the present work. A spherical cap of half-angle </w:t>
      </w:r>
      <w:proofErr w:type="spellStart"/>
      <w:r>
        <w:rPr>
          <w:i/>
          <w:iCs/>
        </w:rPr>
        <w:t>Φ</w:t>
      </w:r>
      <w:r>
        <w:rPr>
          <w:vertAlign w:val="subscript"/>
        </w:rPr>
        <w:t>c</w:t>
      </w:r>
      <w:proofErr w:type="spellEnd"/>
      <w:r>
        <w:t xml:space="preserve"> (Fig. 6) has area</w:t>
      </w:r>
    </w:p>
    <w:p w14:paraId="692CB3E9" w14:textId="45C8C970" w:rsidR="00E63BA1" w:rsidRPr="0034616D" w:rsidRDefault="00E63BA1" w:rsidP="00EB1416">
      <w:pPr>
        <w:spacing w:before="100" w:beforeAutospacing="1" w:after="100" w:afterAutospacing="1"/>
        <w:jc w:val="right"/>
      </w:pPr>
      <w:r>
        <w:t>                                    </w:t>
      </w:r>
      <w:r>
        <w:rPr>
          <w:noProof/>
          <w:position w:val="-19"/>
        </w:rPr>
        <w:drawing>
          <wp:inline distT="0" distB="0" distL="0" distR="0" wp14:anchorId="42E49791" wp14:editId="02F3B575">
            <wp:extent cx="1562100" cy="214684"/>
            <wp:effectExtent l="0" t="0" r="0" b="0"/>
            <wp:docPr id="1083581483" name="Picture 1083581483" descr="{&quot;mathml&quot;:&quot;&lt;math style=\&quot;font-family:stix;font-size:16px;\&quot; xmlns=\&quot;http://www.w3.org/1998/Math/MathML\&quot;&gt;&lt;msub&gt;&lt;mi&gt;A&lt;/mi&gt;&lt;mrow&gt;&lt;mi&gt;c&lt;/mi&gt;&lt;mi&gt;a&lt;/mi&gt;&lt;mi&gt;p&lt;/mi&gt;&lt;/mrow&gt;&lt;/msub&gt;&lt;mo&gt;&amp;#xA0;&lt;/mo&gt;&lt;mo&gt;=&lt;/mo&gt;&lt;mo&gt;&amp;#xA0;&lt;/mo&gt;&lt;mn&gt;2&lt;/mn&gt;&lt;mi&gt;&amp;#x3C0;&lt;/mi&gt;&lt;msup&gt;&lt;mi&gt;R&lt;/mi&gt;&lt;mn&gt;2&lt;/mn&gt;&lt;/msup&gt;&lt;mfenced&gt;&lt;mrow&gt;&lt;mn&gt;1&lt;/mn&gt;&lt;mo&gt;-&lt;/mo&gt;&lt;mi&gt;cos&lt;/mi&gt;&lt;mo&gt;&amp;#xA0;&lt;/mo&gt;&lt;msub&gt;&lt;mi&gt;&amp;#x3A6;&lt;/mi&gt;&lt;mi&gt;c&lt;/mi&gt;&lt;/msub&gt;&lt;/mrow&gt;&lt;/mfenced&gt;&lt;/math&gt;&quot;,&quot;origin&quot;:&quot;MathType Legacy&quot;,&quot;version&quot;:&quot;v3.26.0&quot;}" title="A subscript c a p end subscript space equals space 2 pi R squared open parentheses 1 minus cos space capital phi subscript c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A&lt;/mi&gt;&lt;mrow&gt;&lt;mi&gt;c&lt;/mi&gt;&lt;mi&gt;a&lt;/mi&gt;&lt;mi&gt;p&lt;/mi&gt;&lt;/mrow&gt;&lt;/msub&gt;&lt;mo&gt;&amp;#xA0;&lt;/mo&gt;&lt;mo&gt;=&lt;/mo&gt;&lt;mo&gt;&amp;#xA0;&lt;/mo&gt;&lt;mn&gt;2&lt;/mn&gt;&lt;mi&gt;&amp;#x3C0;&lt;/mi&gt;&lt;msup&gt;&lt;mi&gt;R&lt;/mi&gt;&lt;mn&gt;2&lt;/mn&gt;&lt;/msup&gt;&lt;mfenced&gt;&lt;mrow&gt;&lt;mn&gt;1&lt;/mn&gt;&lt;mo&gt;-&lt;/mo&gt;&lt;mi&gt;cos&lt;/mi&gt;&lt;mo&gt;&amp;#xA0;&lt;/mo&gt;&lt;msub&gt;&lt;mi&gt;&amp;#x3A6;&lt;/mi&gt;&lt;mi&gt;c&lt;/mi&gt;&lt;/msub&gt;&lt;/mrow&gt;&lt;/mfenced&gt;&lt;/math&gt;&quot;,&quot;origin&quot;:&quot;MathType Legacy&quot;,&quot;version&quot;:&quot;v3.26.0&quot;}" title="A subscript c a p end subscript space equals space 2 pi R squared open parentheses 1 minus cos space capital phi subscript c close parentheses"/>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91490" cy="232466"/>
                    </a:xfrm>
                    <a:prstGeom prst="rect">
                      <a:avLst/>
                    </a:prstGeom>
                  </pic:spPr>
                </pic:pic>
              </a:graphicData>
            </a:graphic>
          </wp:inline>
        </w:drawing>
      </w:r>
      <w:r>
        <w:t>                                                              (6)</w:t>
      </w:r>
    </w:p>
    <w:p w14:paraId="72FED3A6" w14:textId="7E39B54A" w:rsidR="00E63BA1" w:rsidRPr="0034616D" w:rsidRDefault="00E63BA1" w:rsidP="002054AD">
      <w:r>
        <w:t xml:space="preserve">and subtends solid angle </w:t>
      </w:r>
      <m:oMath>
        <m:r>
          <w:rPr>
            <w:rFonts w:ascii="Cambria Math" w:hAnsi="Cambria Math"/>
            <w:sz w:val="18"/>
            <w:szCs w:val="18"/>
          </w:rPr>
          <m:t>Ω=2π</m:t>
        </m:r>
        <m:d>
          <m:dPr>
            <m:ctrlPr>
              <w:rPr>
                <w:rFonts w:ascii="Cambria Math" w:hAnsi="Cambria Math"/>
                <w:i/>
                <w:sz w:val="18"/>
                <w:szCs w:val="18"/>
              </w:rPr>
            </m:ctrlPr>
          </m:dPr>
          <m:e>
            <m:r>
              <w:rPr>
                <w:rFonts w:ascii="Cambria Math" w:hAnsi="Cambria Math"/>
                <w:sz w:val="18"/>
                <w:szCs w:val="18"/>
              </w:rPr>
              <m:t>1-</m:t>
            </m:r>
            <m:sSub>
              <m:sSubPr>
                <m:ctrlPr>
                  <w:rPr>
                    <w:rFonts w:ascii="Cambria Math" w:hAnsi="Cambria Math"/>
                    <w:i/>
                    <w:sz w:val="18"/>
                    <w:szCs w:val="18"/>
                  </w:rPr>
                </m:ctrlPr>
              </m:sSubPr>
              <m:e>
                <m:r>
                  <w:rPr>
                    <w:rFonts w:ascii="Cambria Math" w:hAnsi="Cambria Math"/>
                    <w:sz w:val="18"/>
                    <w:szCs w:val="18"/>
                  </w:rPr>
                  <m:t>cos Φ</m:t>
                </m:r>
              </m:e>
              <m:sub>
                <m:r>
                  <w:rPr>
                    <w:rFonts w:ascii="Cambria Math" w:hAnsi="Cambria Math"/>
                    <w:sz w:val="18"/>
                    <w:szCs w:val="18"/>
                  </w:rPr>
                  <m:t>c</m:t>
                </m:r>
              </m:sub>
            </m:sSub>
            <m:r>
              <w:rPr>
                <w:rFonts w:ascii="Cambria Math" w:hAnsi="Cambria Math"/>
                <w:sz w:val="18"/>
                <w:szCs w:val="18"/>
              </w:rPr>
              <m:t xml:space="preserve"> </m:t>
            </m:r>
          </m:e>
        </m:d>
      </m:oMath>
      <w:r>
        <w:t xml:space="preserve">. Because the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factors cancel in the flux integral, the cap carries flux</w:t>
      </w:r>
    </w:p>
    <w:p w14:paraId="350A77A0" w14:textId="2046E097" w:rsidR="00E63BA1" w:rsidRPr="0034616D" w:rsidRDefault="009D4A87" w:rsidP="00EB1416">
      <w:pPr>
        <w:spacing w:before="100" w:beforeAutospacing="1" w:after="100" w:afterAutospacing="1"/>
        <w:jc w:val="right"/>
      </w:pPr>
      <w:r>
        <w:t xml:space="preserve">  </w:t>
      </w:r>
      <w:r>
        <w:rPr>
          <w:noProof/>
          <w:position w:val="-19"/>
        </w:rPr>
        <w:drawing>
          <wp:inline distT="0" distB="0" distL="0" distR="0" wp14:anchorId="4A6A904F" wp14:editId="5A22C530">
            <wp:extent cx="781050" cy="167660"/>
            <wp:effectExtent l="0" t="0" r="0" b="3810"/>
            <wp:docPr id="850961955" name="Picture 850961955" descr="{&quot;mathml&quot;:&quot;&lt;math style=\&quot;font-family:stix;font-size:16px;\&quot; xmlns=\&quot;http://www.w3.org/1998/Math/MathML\&quot;&gt;&lt;msub&gt;&lt;mi&gt;&amp;#x3C8;&lt;/mi&gt;&lt;mrow&gt;&lt;mi&gt;c&lt;/mi&gt;&lt;mi&gt;a&lt;/mi&gt;&lt;mi&gt;p&lt;/mi&gt;&lt;/mrow&gt;&lt;/msub&gt;&lt;mo&gt;&amp;#xA0;&lt;/mo&gt;&lt;mo&gt;=&lt;/mo&gt;&lt;mo&gt;-&lt;/mo&gt;&lt;mi&gt;&amp;#x3BC;&lt;/mi&gt;&lt;mo&gt;&amp;#xA0;&lt;/mo&gt;&lt;mi&gt;&amp;#x3A9;&lt;/mi&gt;&lt;/math&gt;&quot;,&quot;origin&quot;:&quot;MathType Legacy&quot;,&quot;version&quot;:&quot;v3.26.0&quot;}" title="psi subscript c a p end subscript space equals negative mu space capital om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amp;#x3C8;&lt;/mi&gt;&lt;mrow&gt;&lt;mi&gt;c&lt;/mi&gt;&lt;mi&gt;a&lt;/mi&gt;&lt;mi&gt;p&lt;/mi&gt;&lt;/mrow&gt;&lt;/msub&gt;&lt;mo&gt;&amp;#xA0;&lt;/mo&gt;&lt;mo&gt;=&lt;/mo&gt;&lt;mo&gt;-&lt;/mo&gt;&lt;mi&gt;&amp;#x3BC;&lt;/mi&gt;&lt;mo&gt;&amp;#xA0;&lt;/mo&gt;&lt;mi&gt;&amp;#x3A9;&lt;/mi&gt;&lt;/math&gt;&quot;,&quot;origin&quot;:&quot;MathType Legacy&quot;,&quot;version&quot;:&quot;v3.26.0&quot;}" title="psi subscript c a p end subscript space equals negative mu space capital omega"/>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11684" cy="174236"/>
                    </a:xfrm>
                    <a:prstGeom prst="rect">
                      <a:avLst/>
                    </a:prstGeom>
                  </pic:spPr>
                </pic:pic>
              </a:graphicData>
            </a:graphic>
          </wp:inline>
        </w:drawing>
      </w:r>
      <w:r>
        <w:t>                                                                            (7)</w:t>
      </w:r>
    </w:p>
    <w:p w14:paraId="6D9BF363" w14:textId="3E6630BC" w:rsidR="00E63BA1" w:rsidRPr="0034616D" w:rsidRDefault="00E63BA1" w:rsidP="00E63BA1">
      <w:pPr>
        <w:spacing w:before="100" w:beforeAutospacing="1" w:after="100" w:afterAutospacing="1"/>
      </w:pPr>
      <w:r>
        <w:t xml:space="preserve">independent of sphere radius. The same cancellation applies when the cap is replaced by a flat disk of circumradius </w:t>
      </w:r>
      <m:oMath>
        <m:r>
          <w:rPr>
            <w:rFonts w:ascii="Cambria Math" w:hAnsi="Cambria Math"/>
            <w:sz w:val="18"/>
            <w:szCs w:val="18"/>
            <w:vertAlign w:val="subscript"/>
          </w:rPr>
          <m:t xml:space="preserve">R'=R sin </m:t>
        </m:r>
        <m:sSub>
          <m:sSubPr>
            <m:ctrlPr>
              <w:rPr>
                <w:rFonts w:ascii="Cambria Math" w:hAnsi="Cambria Math"/>
                <w:sz w:val="18"/>
                <w:szCs w:val="18"/>
                <w:vertAlign w:val="subscript"/>
              </w:rPr>
            </m:ctrlPr>
          </m:sSubPr>
          <m:e>
            <m:r>
              <w:rPr>
                <w:rFonts w:ascii="Cambria Math" w:hAnsi="Cambria Math"/>
                <w:sz w:val="18"/>
                <w:szCs w:val="18"/>
                <w:vertAlign w:val="subscript"/>
              </w:rPr>
              <m:t>Φ</m:t>
            </m:r>
          </m:e>
          <m:sub>
            <m:r>
              <w:rPr>
                <w:rFonts w:ascii="Cambria Math" w:hAnsi="Cambria Math"/>
                <w:sz w:val="18"/>
                <w:szCs w:val="18"/>
                <w:vertAlign w:val="subscript"/>
              </w:rPr>
              <m:t>c</m:t>
            </m:r>
          </m:sub>
        </m:sSub>
      </m:oMath>
      <w:r>
        <w:rPr>
          <w:vertAlign w:val="subscript"/>
        </w:rPr>
        <w:t xml:space="preserve"> </w:t>
      </w:r>
      <w:r>
        <w:t>: the disk subtends the same solid angle and carries the same flux. The shape of the bounding surface therefore does not affect the flux, provided the conditions of Gauss's law are satisfied, and the conical surface may be evaluated in sections without requiring a fully closed surface at each step.</w:t>
      </w:r>
    </w:p>
    <w:p w14:paraId="3F461EEC" w14:textId="77777777" w:rsidR="0078637B" w:rsidRPr="00F565BA" w:rsidRDefault="0078637B" w:rsidP="006E6BFF">
      <w:pPr>
        <w:keepNext/>
        <w:numPr>
          <w:ilvl w:val="0"/>
          <w:numId w:val="2"/>
        </w:numPr>
        <w:tabs>
          <w:tab w:val="num" w:pos="180"/>
        </w:tabs>
        <w:spacing w:before="240" w:after="120"/>
        <w:ind w:left="180" w:hanging="180"/>
        <w:jc w:val="center"/>
        <w:outlineLvl w:val="0"/>
        <w:rPr>
          <w:b/>
          <w:kern w:val="32"/>
          <w:sz w:val="22"/>
        </w:rPr>
      </w:pPr>
      <w:r>
        <w:rPr>
          <w:b/>
          <w:kern w:val="32"/>
          <w:sz w:val="22"/>
        </w:rPr>
        <w:t>Gauss’s Law Application</w:t>
      </w:r>
    </w:p>
    <w:p w14:paraId="19242A4F" w14:textId="67618F41" w:rsidR="00E63BA1" w:rsidRPr="0034616D" w:rsidRDefault="00E63BA1" w:rsidP="002054AD">
      <w:pPr>
        <w:tabs>
          <w:tab w:val="left" w:pos="288"/>
        </w:tabs>
        <w:ind w:firstLine="288"/>
      </w:pPr>
      <w:r>
        <w:t xml:space="preserve">Gauss's law applied to the conical reference frame with a 90° apex angle yields new results for elliptical orbits. Because flux lines follow radial generators of the cone and the </w:t>
      </w:r>
      <w:r>
        <w:rPr>
          <w:i/>
          <w:iCs/>
        </w:rPr>
        <w:t>R</w:t>
      </w:r>
      <w:r>
        <w:t>² cancellation established in Section V holds at every radius, the conic sector subtends a fixed solid angle</w:t>
      </w:r>
      <w:r>
        <w:rPr>
          <w:rFonts w:ascii="Cambria Math" w:hAnsi="Cambria Math"/>
          <w:i/>
          <w:iCs/>
          <w:sz w:val="18"/>
          <w:szCs w:val="18"/>
        </w:rPr>
        <w:t xml:space="preserve"> </w:t>
      </w:r>
      <m:oMath>
        <m:r>
          <w:rPr>
            <w:rFonts w:ascii="Cambria Math" w:hAnsi="Cambria Math"/>
            <w:sz w:val="18"/>
            <w:szCs w:val="18"/>
          </w:rPr>
          <m:t>Ω=2π</m:t>
        </m:r>
        <m:d>
          <m:dPr>
            <m:ctrlPr>
              <w:rPr>
                <w:rFonts w:ascii="Cambria Math" w:hAnsi="Cambria Math"/>
                <w:i/>
                <w:sz w:val="18"/>
                <w:szCs w:val="18"/>
              </w:rPr>
            </m:ctrlPr>
          </m:dPr>
          <m:e>
            <m:r>
              <w:rPr>
                <w:rFonts w:ascii="Cambria Math" w:hAnsi="Cambria Math"/>
                <w:sz w:val="18"/>
                <w:szCs w:val="18"/>
              </w:rPr>
              <m:t>1-</m:t>
            </m:r>
            <m:sSub>
              <m:sSubPr>
                <m:ctrlPr>
                  <w:rPr>
                    <w:rFonts w:ascii="Cambria Math" w:hAnsi="Cambria Math"/>
                    <w:i/>
                    <w:sz w:val="18"/>
                    <w:szCs w:val="18"/>
                  </w:rPr>
                </m:ctrlPr>
              </m:sSubPr>
              <m:e>
                <m:r>
                  <w:rPr>
                    <w:rFonts w:ascii="Cambria Math" w:hAnsi="Cambria Math"/>
                    <w:sz w:val="18"/>
                    <w:szCs w:val="18"/>
                  </w:rPr>
                  <m:t>cos Φ</m:t>
                </m:r>
              </m:e>
              <m:sub>
                <m:r>
                  <w:rPr>
                    <w:rFonts w:ascii="Cambria Math" w:hAnsi="Cambria Math"/>
                    <w:sz w:val="18"/>
                    <w:szCs w:val="18"/>
                  </w:rPr>
                  <m:t>c</m:t>
                </m:r>
              </m:sub>
            </m:sSub>
            <m:r>
              <w:rPr>
                <w:rFonts w:ascii="Cambria Math" w:hAnsi="Cambria Math"/>
                <w:sz w:val="18"/>
                <w:szCs w:val="18"/>
              </w:rPr>
              <m:t xml:space="preserve"> </m:t>
            </m:r>
          </m:e>
        </m:d>
      </m:oMath>
      <w:r>
        <w:t xml:space="preserve"> independent of </w:t>
      </w:r>
      <w:r>
        <w:rPr>
          <w:i/>
          <w:iCs/>
        </w:rPr>
        <w:t>R</w:t>
      </w:r>
      <w:r>
        <w:t>, and the flux through that sector is constant throughout the orbit. The following subsections derive the eccentricity–tilt relation, extend the flux result dynamically to recover Kepler's equation in logarithmic form, and present the dual-tolerance Newton-Raphson positioning scheme.</w:t>
      </w:r>
    </w:p>
    <w:p w14:paraId="1B77E188" w14:textId="77777777" w:rsidR="00E63BA1" w:rsidRPr="0034616D" w:rsidRDefault="00E63BA1" w:rsidP="00E63BA1">
      <w:pPr>
        <w:spacing w:before="100" w:beforeAutospacing="1" w:after="100" w:afterAutospacing="1"/>
      </w:pPr>
      <w:r>
        <w:rPr>
          <w:b/>
          <w:bCs/>
        </w:rPr>
        <w:t>A. Unique 90-Degree Cone Frame</w:t>
      </w:r>
    </w:p>
    <w:p w14:paraId="6113E729" w14:textId="58B59DBF" w:rsidR="00E63BA1" w:rsidRPr="0034616D" w:rsidRDefault="00E63BA1" w:rsidP="002054AD">
      <w:pPr>
        <w:tabs>
          <w:tab w:val="left" w:pos="288"/>
        </w:tabs>
        <w:ind w:firstLine="288"/>
      </w:pPr>
      <w:r>
        <w:t xml:space="preserve">The tilt of the orbital plane with respect to the cone axis is denoted </w:t>
      </w:r>
      <w:proofErr w:type="spellStart"/>
      <w:r>
        <w:rPr>
          <w:i/>
          <w:iCs/>
        </w:rPr>
        <w:t>Φ</w:t>
      </w:r>
      <w:r>
        <w:rPr>
          <w:vertAlign w:val="subscript"/>
        </w:rPr>
        <w:t>h</w:t>
      </w:r>
      <w:proofErr w:type="spellEnd"/>
      <w:r>
        <w:t xml:space="preserve">, the angle between the cone axis and the line </w:t>
      </w:r>
      <w:r>
        <w:rPr>
          <w:i/>
          <w:iCs/>
        </w:rPr>
        <w:t>OF</w:t>
      </w:r>
      <w:r>
        <w:t xml:space="preserve">. It is measured toward periapsis. The angle </w:t>
      </w:r>
      <w:proofErr w:type="spellStart"/>
      <w:r>
        <w:rPr>
          <w:i/>
          <w:iCs/>
        </w:rPr>
        <w:t>Φ</w:t>
      </w:r>
      <w:r>
        <w:rPr>
          <w:vertAlign w:val="subscript"/>
        </w:rPr>
        <w:t>h</w:t>
      </w:r>
      <w:proofErr w:type="spellEnd"/>
      <w:r>
        <w:t xml:space="preserve"> is determined from the edge view shown in Fig. 4. In this view the cone appears as two generators at 45° to the vertical centerline, the line </w:t>
      </w:r>
      <m:oMath>
        <m:r>
          <w:rPr>
            <w:rFonts w:ascii="Cambria Math" w:hAnsi="Cambria Math"/>
            <w:sz w:val="18"/>
            <w:szCs w:val="18"/>
          </w:rPr>
          <m:t>OF=</m:t>
        </m:r>
        <m:rad>
          <m:radPr>
            <m:degHide m:val="1"/>
            <m:ctrlPr>
              <w:rPr>
                <w:rFonts w:ascii="Cambria Math" w:hAnsi="Cambria Math"/>
                <w:i/>
                <w:sz w:val="18"/>
                <w:szCs w:val="18"/>
              </w:rPr>
            </m:ctrlPr>
          </m:radPr>
          <m:deg/>
          <m:e>
            <m:r>
              <w:rPr>
                <w:rFonts w:ascii="Cambria Math" w:hAnsi="Cambria Math"/>
                <w:sz w:val="18"/>
                <w:szCs w:val="18"/>
              </w:rPr>
              <m:t>ap</m:t>
            </m:r>
          </m:e>
        </m:rad>
      </m:oMath>
      <w:r>
        <w:t xml:space="preserve"> extends from the apex </w:t>
      </w:r>
      <w:r>
        <w:rPr>
          <w:i/>
          <w:iCs/>
        </w:rPr>
        <w:t>O</w:t>
      </w:r>
      <w:r>
        <w:t xml:space="preserve"> to the focus </w:t>
      </w:r>
      <w:r>
        <w:rPr>
          <w:i/>
          <w:iCs/>
        </w:rPr>
        <w:t>F</w:t>
      </w:r>
      <w:r>
        <w:t xml:space="preserve"> at angle </w:t>
      </w:r>
      <w:proofErr w:type="spellStart"/>
      <w:r>
        <w:rPr>
          <w:i/>
          <w:iCs/>
        </w:rPr>
        <w:t>Φ</w:t>
      </w:r>
      <w:r>
        <w:rPr>
          <w:vertAlign w:val="subscript"/>
        </w:rPr>
        <w:t>h</w:t>
      </w:r>
      <w:proofErr w:type="spellEnd"/>
      <w:r>
        <w:t xml:space="preserve"> from the centerline, and the distance from </w:t>
      </w:r>
      <w:r>
        <w:rPr>
          <w:i/>
          <w:iCs/>
        </w:rPr>
        <w:t>F</w:t>
      </w:r>
      <w:r>
        <w:t xml:space="preserve"> to periapsis </w:t>
      </w:r>
      <w:r>
        <w:rPr>
          <w:i/>
          <w:iCs/>
        </w:rPr>
        <w:t>P</w:t>
      </w:r>
      <w:r>
        <w:t xml:space="preserve"> equals </w:t>
      </w:r>
      <m:oMath>
        <m:r>
          <w:rPr>
            <w:rFonts w:ascii="Cambria Math" w:hAnsi="Cambria Math"/>
          </w:rPr>
          <m:t>a</m:t>
        </m:r>
        <m:d>
          <m:dPr>
            <m:ctrlPr>
              <w:rPr>
                <w:rFonts w:ascii="Cambria Math" w:hAnsi="Cambria Math"/>
              </w:rPr>
            </m:ctrlPr>
          </m:dPr>
          <m:e>
            <m:r>
              <w:rPr>
                <w:rFonts w:ascii="Cambria Math" w:hAnsi="Cambria Math"/>
              </w:rPr>
              <m:t>1-e</m:t>
            </m:r>
          </m:e>
        </m:d>
      </m:oMath>
      <w:r>
        <w:t xml:space="preserve">. In the right triangle </w:t>
      </w:r>
      <w:r>
        <w:rPr>
          <w:i/>
          <w:iCs/>
        </w:rPr>
        <w:t>OFP</w:t>
      </w:r>
      <w:r>
        <w:t xml:space="preserve">, the right angle is at </w:t>
      </w:r>
      <w:r>
        <w:rPr>
          <w:i/>
          <w:iCs/>
        </w:rPr>
        <w:t>F</w:t>
      </w:r>
      <w:r>
        <w:t xml:space="preserve">, the hypotenuse </w:t>
      </w:r>
      <w:r>
        <w:rPr>
          <w:i/>
          <w:iCs/>
        </w:rPr>
        <w:t>OP</w:t>
      </w:r>
      <w:r>
        <w:t xml:space="preserve"> lies along the 45° cone generator with length </w:t>
      </w:r>
      <m:oMath>
        <m:r>
          <w:rPr>
            <w:rFonts w:ascii="Cambria Math" w:hAnsi="Cambria Math"/>
          </w:rPr>
          <m:t>a√</m:t>
        </m:r>
        <m:d>
          <m:dPr>
            <m:ctrlPr>
              <w:rPr>
                <w:rFonts w:ascii="Cambria Math" w:hAnsi="Cambria Math"/>
              </w:rPr>
            </m:ctrlPr>
          </m:dPr>
          <m:e>
            <m:r>
              <w:rPr>
                <w:rFonts w:ascii="Cambria Math" w:hAnsi="Cambria Math"/>
              </w:rPr>
              <m:t>2-2e</m:t>
            </m:r>
          </m:e>
        </m:d>
      </m:oMath>
      <w:r>
        <w:t xml:space="preserve">, and the angle at </w:t>
      </w:r>
      <w:r>
        <w:rPr>
          <w:i/>
          <w:iCs/>
        </w:rPr>
        <w:t>O</w:t>
      </w:r>
      <w:r>
        <w:t xml:space="preserve"> between the generator and </w:t>
      </w:r>
      <w:r>
        <w:rPr>
          <w:i/>
          <w:iCs/>
        </w:rPr>
        <w:t>OF</w:t>
      </w:r>
      <w:r>
        <w:t xml:space="preserve"> is (45° − </w:t>
      </w:r>
      <w:proofErr w:type="spellStart"/>
      <w:r>
        <w:rPr>
          <w:i/>
          <w:iCs/>
        </w:rPr>
        <w:t>Φ</w:t>
      </w:r>
      <w:r>
        <w:rPr>
          <w:vertAlign w:val="subscript"/>
        </w:rPr>
        <w:t>h</w:t>
      </w:r>
      <w:proofErr w:type="spellEnd"/>
      <w:r>
        <w:t>). Therefore:</w:t>
      </w:r>
    </w:p>
    <w:p w14:paraId="5397F80B" w14:textId="0638E2B2" w:rsidR="00E63BA1" w:rsidRPr="0034616D" w:rsidRDefault="00F92178" w:rsidP="00C957C8">
      <w:pPr>
        <w:spacing w:before="100" w:beforeAutospacing="1" w:after="100" w:afterAutospacing="1"/>
        <w:jc w:val="right"/>
      </w:pPr>
      <w:r>
        <w:rPr>
          <w:noProof/>
          <w:position w:val="-48"/>
        </w:rPr>
        <w:drawing>
          <wp:inline distT="0" distB="0" distL="0" distR="0" wp14:anchorId="70F03AE8" wp14:editId="144AD597">
            <wp:extent cx="2065946" cy="428625"/>
            <wp:effectExtent l="0" t="0" r="0" b="0"/>
            <wp:docPr id="1144560757" name="Picture 1144560757" descr="{&quot;mathml&quot;:&quot;&lt;math style=\&quot;font-family:stix;font-size:16px;\&quot; xmlns=\&quot;http://www.w3.org/1998/Math/MathML\&quot;&gt;&lt;mi&gt;sin&lt;/mi&gt;&lt;mfenced&gt;&lt;mrow&gt;&lt;mfrac bevelled=\&quot;true\&quot;&gt;&lt;mi&gt;&amp;#x3C0;&lt;/mi&gt;&lt;mn&gt;4&lt;/mn&gt;&lt;/mfrac&gt;&lt;mo&gt;-&lt;/mo&gt;&lt;msub&gt;&lt;mi&gt;&amp;#x3A6;&lt;/mi&gt;&lt;mi&gt;h&lt;/mi&gt;&lt;/msub&gt;&lt;/mrow&gt;&lt;/mfenced&gt;&lt;mo&gt;=&lt;/mo&gt;&lt;mfrac&gt;&lt;mrow&gt;&lt;mi&gt;a&lt;/mi&gt;&lt;mfenced&gt;&lt;mrow&gt;&lt;mn&gt;1&lt;/mn&gt;&lt;mo&gt;-&lt;/mo&gt;&lt;mi&gt;e&lt;/mi&gt;&lt;/mrow&gt;&lt;/mfenced&gt;&lt;/mrow&gt;&lt;mrow&gt;&lt;mi&gt;a&lt;/mi&gt;&lt;msqrt&gt;&lt;mn&gt;2&lt;/mn&gt;&lt;mo&gt;-&lt;/mo&gt;&lt;mn&gt;2&lt;/mn&gt;&lt;mi&gt;e&lt;/mi&gt;&lt;/msqrt&gt;&lt;/mrow&gt;&lt;/mfrac&gt;&lt;mo&gt;=&lt;/mo&gt;&lt;msqrt&gt;&lt;mfrac&gt;&lt;mrow&gt;&lt;mn&gt;1&lt;/mn&gt;&lt;mo&gt;-&lt;/mo&gt;&lt;mi&gt;e&lt;/mi&gt;&lt;/mrow&gt;&lt;mn&gt;2&lt;/mn&gt;&lt;/mfrac&gt;&lt;/msqrt&gt;&lt;/math&gt;&quot;,&quot;origin&quot;:&quot;MathType Legacy&quot;,&quot;version&quot;:&quot;v3.26.0&quot;}" title="sin open parentheses bevelled pi over 4 minus capital phi subscript h close parentheses equals fraction numerator a open parentheses 1 minus e close parentheses over denominator a square root of 2 minus 2 e end root end fraction equals square root of fraction numerator 1 minus e over denominator 2 end fraction end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sin&lt;/mi&gt;&lt;mfenced&gt;&lt;mrow&gt;&lt;mfrac bevelled=\&quot;true\&quot;&gt;&lt;mi&gt;&amp;#x3C0;&lt;/mi&gt;&lt;mn&gt;4&lt;/mn&gt;&lt;/mfrac&gt;&lt;mo&gt;-&lt;/mo&gt;&lt;msub&gt;&lt;mi&gt;&amp;#x3A6;&lt;/mi&gt;&lt;mi&gt;h&lt;/mi&gt;&lt;/msub&gt;&lt;/mrow&gt;&lt;/mfenced&gt;&lt;mo&gt;=&lt;/mo&gt;&lt;mfrac&gt;&lt;mrow&gt;&lt;mi&gt;a&lt;/mi&gt;&lt;mfenced&gt;&lt;mrow&gt;&lt;mn&gt;1&lt;/mn&gt;&lt;mo&gt;-&lt;/mo&gt;&lt;mi&gt;e&lt;/mi&gt;&lt;/mrow&gt;&lt;/mfenced&gt;&lt;/mrow&gt;&lt;mrow&gt;&lt;mi&gt;a&lt;/mi&gt;&lt;msqrt&gt;&lt;mn&gt;2&lt;/mn&gt;&lt;mo&gt;-&lt;/mo&gt;&lt;mn&gt;2&lt;/mn&gt;&lt;mi&gt;e&lt;/mi&gt;&lt;/msqrt&gt;&lt;/mrow&gt;&lt;/mfrac&gt;&lt;mo&gt;=&lt;/mo&gt;&lt;msqrt&gt;&lt;mfrac&gt;&lt;mrow&gt;&lt;mn&gt;1&lt;/mn&gt;&lt;mo&gt;-&lt;/mo&gt;&lt;mi&gt;e&lt;/mi&gt;&lt;/mrow&gt;&lt;mn&gt;2&lt;/mn&gt;&lt;/mfrac&gt;&lt;/msqrt&gt;&lt;/math&gt;&quot;,&quot;origin&quot;:&quot;MathType Legacy&quot;,&quot;version&quot;:&quot;v3.26.0&quot;}" title="sin open parentheses bevelled pi over 4 minus capital phi subscript h close parentheses equals fraction numerator a open parentheses 1 minus e close parentheses over denominator a square root of 2 minus 2 e end root end fraction equals square root of fraction numerator 1 minus e over denominator 2 end fraction end roo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40247" cy="444040"/>
                    </a:xfrm>
                    <a:prstGeom prst="rect">
                      <a:avLst/>
                    </a:prstGeom>
                  </pic:spPr>
                </pic:pic>
              </a:graphicData>
            </a:graphic>
          </wp:inline>
        </w:drawing>
      </w:r>
      <w:r>
        <w:t>                                                          (8)</w:t>
      </w:r>
    </w:p>
    <w:p w14:paraId="0813AA45" w14:textId="41177FDF" w:rsidR="00E63BA1" w:rsidRPr="0034616D" w:rsidRDefault="00E63BA1" w:rsidP="00E63BA1">
      <w:pPr>
        <w:spacing w:before="100" w:beforeAutospacing="1" w:after="100" w:afterAutospacing="1"/>
      </w:pPr>
      <w:r>
        <w:t>The complementary angle follows directly:</w:t>
      </w:r>
    </w:p>
    <w:p w14:paraId="7577DE99" w14:textId="3C561E17" w:rsidR="00E63BA1" w:rsidRPr="0034616D" w:rsidRDefault="0009643D" w:rsidP="00C957C8">
      <w:pPr>
        <w:spacing w:before="100" w:beforeAutospacing="1" w:after="100" w:afterAutospacing="1"/>
        <w:jc w:val="right"/>
      </w:pPr>
      <w:r>
        <w:rPr>
          <w:noProof/>
          <w:position w:val="-42"/>
        </w:rPr>
        <w:drawing>
          <wp:inline distT="0" distB="0" distL="0" distR="0" wp14:anchorId="4ECD3C76" wp14:editId="69136682">
            <wp:extent cx="1609725" cy="415119"/>
            <wp:effectExtent l="0" t="0" r="0" b="4445"/>
            <wp:docPr id="963717243" name="Picture 963717243" descr="{&quot;mathml&quot;:&quot;&lt;math style=\&quot;font-family:stix;font-size:16px;\&quot; xmlns=\&quot;http://www.w3.org/1998/Math/MathML\&quot;&gt;&lt;mi&gt;cos&lt;/mi&gt;&lt;mfenced&gt;&lt;mrow&gt;&lt;mfrac bevelled=\&quot;true\&quot;&gt;&lt;mi&gt;&amp;#x3C0;&lt;/mi&gt;&lt;mn&gt;4&lt;/mn&gt;&lt;/mfrac&gt;&lt;mo mathvariant=\&quot;double-struck\&quot;&gt;-&lt;/mo&gt;&lt;msub&gt;&lt;mi&gt;&amp;#x3A6;&lt;/mi&gt;&lt;mi&gt;h&lt;/mi&gt;&lt;/msub&gt;&lt;/mrow&gt;&lt;/mfenced&gt;&lt;mo&gt;=&lt;/mo&gt;&lt;msqrt&gt;&lt;mfrac&gt;&lt;mfenced&gt;&lt;mrow&gt;&lt;mn&gt;1&lt;/mn&gt;&lt;mo&gt;+&lt;/mo&gt;&lt;mi&gt;e&lt;/mi&gt;&lt;/mrow&gt;&lt;/mfenced&gt;&lt;mn&gt;2&lt;/mn&gt;&lt;/mfrac&gt;&lt;/msqrt&gt;&lt;/math&gt;&quot;,&quot;origin&quot;:&quot;MathType Legacy&quot;,&quot;version&quot;:&quot;v3.26.0&quot;}" title="cos open parentheses bevelled pi over 4 double-struck minus capital phi subscript h close parentheses equals square root of fraction numerator open parentheses 1 plus e close parentheses over denominator 2 end fraction end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cos&lt;/mi&gt;&lt;mfenced&gt;&lt;mrow&gt;&lt;mfrac bevelled=\&quot;true\&quot;&gt;&lt;mi&gt;&amp;#x3C0;&lt;/mi&gt;&lt;mn&gt;4&lt;/mn&gt;&lt;/mfrac&gt;&lt;mo mathvariant=\&quot;double-struck\&quot;&gt;-&lt;/mo&gt;&lt;msub&gt;&lt;mi&gt;&amp;#x3A6;&lt;/mi&gt;&lt;mi&gt;h&lt;/mi&gt;&lt;/msub&gt;&lt;/mrow&gt;&lt;/mfenced&gt;&lt;mo&gt;=&lt;/mo&gt;&lt;msqrt&gt;&lt;mfrac&gt;&lt;mfenced&gt;&lt;mrow&gt;&lt;mn&gt;1&lt;/mn&gt;&lt;mo&gt;+&lt;/mo&gt;&lt;mi&gt;e&lt;/mi&gt;&lt;/mrow&gt;&lt;/mfenced&gt;&lt;mn&gt;2&lt;/mn&gt;&lt;/mfrac&gt;&lt;/msqrt&gt;&lt;/math&gt;&quot;,&quot;origin&quot;:&quot;MathType Legacy&quot;,&quot;version&quot;:&quot;v3.26.0&quot;}" title="cos open parentheses bevelled pi over 4 double-struck minus capital phi subscript h close parentheses equals square root of fraction numerator open parentheses 1 plus e close parentheses over denominator 2 end fraction end roo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60472" cy="428206"/>
                    </a:xfrm>
                    <a:prstGeom prst="rect">
                      <a:avLst/>
                    </a:prstGeom>
                  </pic:spPr>
                </pic:pic>
              </a:graphicData>
            </a:graphic>
          </wp:inline>
        </w:drawing>
      </w:r>
      <w:r>
        <w:t>                                                                  (9)</w:t>
      </w:r>
    </w:p>
    <w:p w14:paraId="313B3425" w14:textId="616FE849" w:rsidR="00C957C8" w:rsidRDefault="00E63BA1" w:rsidP="00E63BA1">
      <w:pPr>
        <w:spacing w:before="100" w:beforeAutospacing="1" w:after="100" w:afterAutospacing="1"/>
      </w:pPr>
      <w:r>
        <w:t>Apply the double-angle identity</w:t>
      </w:r>
    </w:p>
    <w:p w14:paraId="53A72C35" w14:textId="738C07DC" w:rsidR="00C957C8" w:rsidRDefault="0009643D" w:rsidP="00C957C8">
      <w:pPr>
        <w:spacing w:before="100" w:beforeAutospacing="1" w:after="100" w:afterAutospacing="1"/>
        <w:jc w:val="right"/>
      </w:pPr>
      <w:r>
        <w:rPr>
          <w:noProof/>
          <w:position w:val="-15"/>
        </w:rPr>
        <w:drawing>
          <wp:inline distT="0" distB="0" distL="0" distR="0" wp14:anchorId="48BBC41E" wp14:editId="1585B6FF">
            <wp:extent cx="2000250" cy="180383"/>
            <wp:effectExtent l="0" t="0" r="0" b="0"/>
            <wp:docPr id="87642215" name="Picture 87642215" descr="{&quot;mathml&quot;:&quot;&lt;math style=\&quot;font-family:stix;font-size:16px;\&quot; xmlns=\&quot;http://www.w3.org/1998/Math/MathML\&quot;&gt;&lt;mi&gt;cos&lt;/mi&gt;&lt;mfenced&gt;&lt;mrow&gt;&lt;mfrac bevelled=\&quot;true\&quot;&gt;&lt;mi&gt;&amp;#x3C0;&lt;/mi&gt;&lt;mn&gt;2&lt;/mn&gt;&lt;/mfrac&gt;&lt;mo&gt;-&lt;/mo&gt;&lt;mn&gt;2&lt;/mn&gt;&lt;msub&gt;&lt;mi&gt;&amp;#x3A6;&lt;/mi&gt;&lt;mi&gt;h&lt;/mi&gt;&lt;/msub&gt;&lt;/mrow&gt;&lt;/mfenced&gt;&lt;mo&gt;=&lt;/mo&gt;&lt;mn&gt;1&lt;/mn&gt;&lt;mo&gt;-&lt;/mo&gt;&lt;mn&gt;2&lt;/mn&gt;&lt;msup&gt;&lt;mi&gt;sin&lt;/mi&gt;&lt;mn&gt;2&lt;/mn&gt;&lt;/msup&gt;&lt;mfenced&gt;&lt;mrow&gt;&lt;mfrac bevelled=\&quot;true\&quot;&gt;&lt;mi&gt;&amp;#x3C0;&lt;/mi&gt;&lt;mn&gt;4&lt;/mn&gt;&lt;/mfrac&gt;&lt;mo&gt;-&lt;/mo&gt;&lt;msub&gt;&lt;mi&gt;&amp;#x3A6;&lt;/mi&gt;&lt;mi&gt;h&lt;/mi&gt;&lt;/msub&gt;&lt;/mrow&gt;&lt;/mfenced&gt;&lt;/math&gt;&quot;,&quot;origin&quot;:&quot;MathType Legacy&quot;,&quot;version&quot;:&quot;v3.26.0&quot;}" title="cos open parentheses bevelled pi over 2 minus 2 capital phi subscript h close parentheses equals 1 minus 2 sin squared open parentheses bevelled pi over 4 minus capital phi subscript h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cos&lt;/mi&gt;&lt;mfenced&gt;&lt;mrow&gt;&lt;mfrac bevelled=\&quot;true\&quot;&gt;&lt;mi&gt;&amp;#x3C0;&lt;/mi&gt;&lt;mn&gt;2&lt;/mn&gt;&lt;/mfrac&gt;&lt;mo&gt;-&lt;/mo&gt;&lt;mn&gt;2&lt;/mn&gt;&lt;msub&gt;&lt;mi&gt;&amp;#x3A6;&lt;/mi&gt;&lt;mi&gt;h&lt;/mi&gt;&lt;/msub&gt;&lt;/mrow&gt;&lt;/mfenced&gt;&lt;mo&gt;=&lt;/mo&gt;&lt;mn&gt;1&lt;/mn&gt;&lt;mo&gt;-&lt;/mo&gt;&lt;mn&gt;2&lt;/mn&gt;&lt;msup&gt;&lt;mi&gt;sin&lt;/mi&gt;&lt;mn&gt;2&lt;/mn&gt;&lt;/msup&gt;&lt;mfenced&gt;&lt;mrow&gt;&lt;mfrac bevelled=\&quot;true\&quot;&gt;&lt;mi&gt;&amp;#x3C0;&lt;/mi&gt;&lt;mn&gt;4&lt;/mn&gt;&lt;/mfrac&gt;&lt;mo&gt;-&lt;/mo&gt;&lt;msub&gt;&lt;mi&gt;&amp;#x3A6;&lt;/mi&gt;&lt;mi&gt;h&lt;/mi&gt;&lt;/msub&gt;&lt;/mrow&gt;&lt;/mfenced&gt;&lt;/math&gt;&quot;,&quot;origin&quot;:&quot;MathType Legacy&quot;,&quot;version&quot;:&quot;v3.26.0&quot;}" title="cos open parentheses bevelled pi over 2 minus 2 capital phi subscript h close parentheses equals 1 minus 2 sin squared open parentheses bevelled pi over 4 minus capital phi subscript h close parentheses"/>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56375" cy="194462"/>
                    </a:xfrm>
                    <a:prstGeom prst="rect">
                      <a:avLst/>
                    </a:prstGeom>
                  </pic:spPr>
                </pic:pic>
              </a:graphicData>
            </a:graphic>
          </wp:inline>
        </w:drawing>
      </w:r>
      <w:r>
        <w:rPr>
          <w:color w:val="EE0000"/>
        </w:rPr>
        <w:t xml:space="preserve">                 </w:t>
      </w:r>
      <w:r w:rsidR="00FB2104">
        <w:rPr>
          <w:color w:val="EE0000"/>
        </w:rPr>
        <w:t xml:space="preserve">  </w:t>
      </w:r>
      <w:r>
        <w:rPr>
          <w:color w:val="EE0000"/>
        </w:rPr>
        <w:t xml:space="preserve">                                   </w:t>
      </w:r>
      <w:r>
        <w:t>(10)</w:t>
      </w:r>
    </w:p>
    <w:p w14:paraId="12A38301" w14:textId="088E3EF2" w:rsidR="00E63BA1" w:rsidRPr="0034616D" w:rsidRDefault="00E63BA1" w:rsidP="00E63BA1">
      <w:pPr>
        <w:spacing w:before="100" w:beforeAutospacing="1" w:after="100" w:afterAutospacing="1"/>
      </w:pPr>
      <w:r>
        <w:t xml:space="preserve"> and substitute </w:t>
      </w:r>
      <w:proofErr w:type="spellStart"/>
      <w:r>
        <w:t>Eq</w:t>
      </w:r>
      <w:r w:rsidR="0042406B">
        <w:t>s</w:t>
      </w:r>
      <w:proofErr w:type="spellEnd"/>
      <w:r>
        <w:t>. (</w:t>
      </w:r>
      <w:r w:rsidR="0042406B">
        <w:t>8</w:t>
      </w:r>
      <w:r>
        <w:t xml:space="preserve">) </w:t>
      </w:r>
      <w:r w:rsidR="0042406B">
        <w:t xml:space="preserve">and (9) </w:t>
      </w:r>
      <w:r>
        <w:t>to show that</w:t>
      </w:r>
    </w:p>
    <w:p w14:paraId="25E574BD" w14:textId="3C8801AF" w:rsidR="00E63BA1" w:rsidRPr="0034616D" w:rsidRDefault="00C51EC4" w:rsidP="00EB1416">
      <w:pPr>
        <w:spacing w:before="100" w:beforeAutospacing="1" w:after="100" w:afterAutospacing="1"/>
        <w:jc w:val="right"/>
      </w:pPr>
      <w:r>
        <w:rPr>
          <w:noProof/>
          <w:position w:val="-18"/>
        </w:rPr>
        <w:drawing>
          <wp:inline distT="0" distB="0" distL="0" distR="0" wp14:anchorId="48B00C82" wp14:editId="01CECFD9">
            <wp:extent cx="714375" cy="191692"/>
            <wp:effectExtent l="0" t="0" r="0" b="0"/>
            <wp:docPr id="1488535645" name="Picture 1488535645" descr="{&quot;mathml&quot;:&quot;&lt;math style=\&quot;font-family:stix;font-size:16px;\&quot; xmlns=\&quot;http://www.w3.org/1998/Math/MathML\&quot;&gt;&lt;mi&gt;sin&lt;/mi&gt;&lt;mfenced&gt;&lt;mrow&gt;&lt;mn&gt;2&lt;/mn&gt;&lt;msub&gt;&lt;mi&gt;&amp;#x3A6;&lt;/mi&gt;&lt;mi&gt;h&lt;/mi&gt;&lt;/msub&gt;&lt;/mrow&gt;&lt;/mfenced&gt;&lt;mo&gt;=&lt;/mo&gt;&lt;mi&gt;e&lt;/mi&gt;&lt;/math&gt;&quot;,&quot;origin&quot;:&quot;MathType Legacy&quot;,&quot;version&quot;:&quot;v3.26.0&quot;}" title="sin open parentheses 2 capital phi subscript h close parentheses equals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sin&lt;/mi&gt;&lt;mfenced&gt;&lt;mrow&gt;&lt;mn&gt;2&lt;/mn&gt;&lt;msub&gt;&lt;mi&gt;&amp;#x3A6;&lt;/mi&gt;&lt;mi&gt;h&lt;/mi&gt;&lt;/msub&gt;&lt;/mrow&gt;&lt;/mfenced&gt;&lt;mo&gt;=&lt;/mo&gt;&lt;mi&gt;e&lt;/mi&gt;&lt;/math&gt;&quot;,&quot;origin&quot;:&quot;MathType Legacy&quot;,&quot;version&quot;:&quot;v3.26.0&quot;}" title="sin open parentheses 2 capital phi subscript h close parentheses equals 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37903" cy="198005"/>
                    </a:xfrm>
                    <a:prstGeom prst="rect">
                      <a:avLst/>
                    </a:prstGeom>
                  </pic:spPr>
                </pic:pic>
              </a:graphicData>
            </a:graphic>
          </wp:inline>
        </w:drawing>
      </w:r>
      <w:r>
        <w:t>                                 </w:t>
      </w:r>
      <w:r w:rsidR="00FB2104">
        <w:t xml:space="preserve">  </w:t>
      </w:r>
      <w:r>
        <w:t>                                         (11)</w:t>
      </w:r>
    </w:p>
    <w:p w14:paraId="6EBC330D" w14:textId="77777777" w:rsidR="00E63BA1" w:rsidRPr="0034616D" w:rsidRDefault="00E63BA1" w:rsidP="00E63BA1">
      <w:pPr>
        <w:spacing w:before="100" w:beforeAutospacing="1" w:after="100" w:afterAutospacing="1"/>
      </w:pPr>
      <w:r>
        <w:rPr>
          <w:b/>
          <w:bCs/>
        </w:rPr>
        <w:t>B. Gravitational Flux and the Conic Reference Frame</w:t>
      </w:r>
    </w:p>
    <w:p w14:paraId="44FF62FF" w14:textId="44FC2F26" w:rsidR="00E63BA1" w:rsidRPr="0034616D" w:rsidRDefault="00E63BA1" w:rsidP="00307729">
      <w:pPr>
        <w:tabs>
          <w:tab w:val="left" w:pos="288"/>
        </w:tabs>
        <w:ind w:firstLine="288"/>
      </w:pPr>
      <w:r>
        <w:t xml:space="preserve">The conical reference frame employs two angular coordinates to describe satellite position: true anomaly </w:t>
      </w:r>
      <w:r>
        <w:rPr>
          <w:i/>
          <w:iCs/>
        </w:rPr>
        <w:t>θ</w:t>
      </w:r>
      <w:r>
        <w:t xml:space="preserve"> measured in the orbital plane from periapsis, and </w:t>
      </w:r>
      <w:r>
        <w:rPr>
          <w:i/>
          <w:iCs/>
        </w:rPr>
        <w:t>Θ</w:t>
      </w:r>
      <w:r>
        <w:t xml:space="preserve"> measured in the x–y plane for rotation about the cone axis. Both describe the same orbital motion in different planes, related by the tilt </w:t>
      </w:r>
      <w:r>
        <w:rPr>
          <w:i/>
          <w:iCs/>
        </w:rPr>
        <w:t>Φ</w:t>
      </w:r>
      <w:r>
        <w:t xml:space="preserve">ₕ. The primary mass at </w:t>
      </w:r>
      <w:r>
        <w:rPr>
          <w:i/>
          <w:iCs/>
        </w:rPr>
        <w:t>F</w:t>
      </w:r>
      <w:r>
        <w:t xml:space="preserve"> is displaced from the cone apex O by </w:t>
      </w:r>
      <m:oMath>
        <m:rad>
          <m:radPr>
            <m:degHide m:val="1"/>
            <m:ctrlPr>
              <w:rPr>
                <w:rFonts w:ascii="Cambria Math" w:hAnsi="Cambria Math"/>
                <w:i/>
                <w:sz w:val="18"/>
                <w:szCs w:val="18"/>
              </w:rPr>
            </m:ctrlPr>
          </m:radPr>
          <m:deg/>
          <m:e>
            <m:r>
              <w:rPr>
                <w:rFonts w:ascii="Cambria Math" w:hAnsi="Cambria Math"/>
                <w:sz w:val="18"/>
                <w:szCs w:val="18"/>
              </w:rPr>
              <m:t>ap</m:t>
            </m:r>
          </m:e>
        </m:rad>
      </m:oMath>
      <w:r>
        <w:t xml:space="preserve"> along the angular momentum vector. Because the conic sector subtends the fixed solid angle </w:t>
      </w:r>
      <m:oMath>
        <m:r>
          <w:rPr>
            <w:rFonts w:ascii="Cambria Math" w:hAnsi="Cambria Math"/>
            <w:sz w:val="18"/>
            <w:szCs w:val="18"/>
          </w:rPr>
          <m:t>Ω=2π</m:t>
        </m:r>
        <m:d>
          <m:dPr>
            <m:ctrlPr>
              <w:rPr>
                <w:rFonts w:ascii="Cambria Math" w:hAnsi="Cambria Math"/>
                <w:i/>
                <w:sz w:val="18"/>
                <w:szCs w:val="18"/>
              </w:rPr>
            </m:ctrlPr>
          </m:dPr>
          <m:e>
            <m:r>
              <w:rPr>
                <w:rFonts w:ascii="Cambria Math" w:hAnsi="Cambria Math"/>
                <w:sz w:val="18"/>
                <w:szCs w:val="18"/>
              </w:rPr>
              <m:t>1-</m:t>
            </m:r>
            <m:sSub>
              <m:sSubPr>
                <m:ctrlPr>
                  <w:rPr>
                    <w:rFonts w:ascii="Cambria Math" w:hAnsi="Cambria Math"/>
                    <w:i/>
                    <w:sz w:val="18"/>
                    <w:szCs w:val="18"/>
                  </w:rPr>
                </m:ctrlPr>
              </m:sSubPr>
              <m:e>
                <m:r>
                  <w:rPr>
                    <w:rFonts w:ascii="Cambria Math" w:hAnsi="Cambria Math"/>
                    <w:sz w:val="18"/>
                    <w:szCs w:val="18"/>
                  </w:rPr>
                  <m:t>cos Φ</m:t>
                </m:r>
              </m:e>
              <m:sub>
                <m:r>
                  <w:rPr>
                    <w:rFonts w:ascii="Cambria Math" w:hAnsi="Cambria Math"/>
                    <w:sz w:val="18"/>
                    <w:szCs w:val="18"/>
                  </w:rPr>
                  <m:t>c</m:t>
                </m:r>
              </m:sub>
            </m:sSub>
            <m:r>
              <w:rPr>
                <w:rFonts w:ascii="Cambria Math" w:hAnsi="Cambria Math"/>
                <w:sz w:val="18"/>
                <w:szCs w:val="18"/>
              </w:rPr>
              <m:t xml:space="preserve"> </m:t>
            </m:r>
          </m:e>
        </m:d>
      </m:oMath>
      <w:r>
        <w:t xml:space="preserve"> at every value of </w:t>
      </w:r>
      <w:r>
        <w:rPr>
          <w:i/>
          <w:iCs/>
        </w:rPr>
        <w:t>R</w:t>
      </w:r>
      <w:r>
        <w:t>, the flux through the sector is</w:t>
      </w:r>
    </w:p>
    <w:p w14:paraId="1485B26C" w14:textId="4ADB43A8" w:rsidR="00E63BA1" w:rsidRPr="0034616D" w:rsidRDefault="006F33C6" w:rsidP="00F166C2">
      <w:pPr>
        <w:spacing w:before="100" w:beforeAutospacing="1" w:after="100" w:afterAutospacing="1"/>
        <w:jc w:val="right"/>
      </w:pPr>
      <w:r>
        <w:rPr>
          <w:noProof/>
          <w:position w:val="-20"/>
        </w:rPr>
        <w:drawing>
          <wp:inline distT="0" distB="0" distL="0" distR="0" wp14:anchorId="39CA9D7C" wp14:editId="43D0CA89">
            <wp:extent cx="847725" cy="300796"/>
            <wp:effectExtent l="0" t="0" r="0" b="4445"/>
            <wp:docPr id="457309363" name="Picture 457309363" descr="{&quot;mathml&quot;:&quot;&lt;math style=\&quot;font-family:stix;font-size:16px;\&quot; xmlns=\&quot;http://www.w3.org/1998/Math/MathML\&quot;&gt;&lt;mo&gt;&amp;#x222B;&lt;/mo&gt;&lt;mi&gt;g&lt;/mi&gt;&lt;mo&gt;&amp;#xA0;&lt;/mo&gt;&lt;mi&gt;d&lt;/mi&gt;&lt;mi&gt;A&lt;/mi&gt;&lt;mo&gt;=&lt;/mo&gt;&lt;mo&gt;-&lt;/mo&gt;&lt;mi&gt;&amp;#x3BC;&lt;/mi&gt;&lt;mo&gt;&amp;#xA0;&lt;/mo&gt;&lt;mi&gt;&amp;#x3A9;&lt;/mi&gt;&lt;/math&gt;&quot;,&quot;origin&quot;:&quot;MathType Legacy&quot;,&quot;version&quot;:&quot;v3.26.0&quot;}" title="integral g space d A equals negative mu space capital om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o&gt;&amp;#x222B;&lt;/mo&gt;&lt;mi&gt;g&lt;/mi&gt;&lt;mo&gt;&amp;#xA0;&lt;/mo&gt;&lt;mi&gt;d&lt;/mi&gt;&lt;mi&gt;A&lt;/mi&gt;&lt;mo&gt;=&lt;/mo&gt;&lt;mo&gt;-&lt;/mo&gt;&lt;mi&gt;&amp;#x3BC;&lt;/mi&gt;&lt;mo&gt;&amp;#xA0;&lt;/mo&gt;&lt;mi&gt;&amp;#x3A9;&lt;/mi&gt;&lt;/math&gt;&quot;,&quot;origin&quot;:&quot;MathType Legacy&quot;,&quot;version&quot;:&quot;v3.26.0&quot;}" title="integral g space d A equals negative mu space capital omega"/>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64764" cy="306842"/>
                    </a:xfrm>
                    <a:prstGeom prst="rect">
                      <a:avLst/>
                    </a:prstGeom>
                  </pic:spPr>
                </pic:pic>
              </a:graphicData>
            </a:graphic>
          </wp:inline>
        </w:drawing>
      </w:r>
      <w:r>
        <w:t xml:space="preserve">                                                                       (12)</w:t>
      </w:r>
    </w:p>
    <w:p w14:paraId="04492041" w14:textId="2B8E5F24" w:rsidR="00F22B97" w:rsidRDefault="00287C65" w:rsidP="0083564F">
      <w:pPr>
        <w:tabs>
          <w:tab w:val="left" w:pos="288"/>
        </w:tabs>
        <w:ind w:firstLine="288"/>
        <w:jc w:val="center"/>
      </w:pPr>
      <w:r>
        <w:rPr>
          <w:noProof/>
        </w:rPr>
        <w:drawing>
          <wp:inline distT="0" distB="0" distL="0" distR="0" wp14:anchorId="0FE4B688" wp14:editId="1684E823">
            <wp:extent cx="2381250" cy="1707312"/>
            <wp:effectExtent l="0" t="0" r="0" b="7620"/>
            <wp:docPr id="2293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8382" name=""/>
                    <pic:cNvPicPr/>
                  </pic:nvPicPr>
                  <pic:blipFill>
                    <a:blip r:embed="rId27"/>
                    <a:stretch>
                      <a:fillRect/>
                    </a:stretch>
                  </pic:blipFill>
                  <pic:spPr>
                    <a:xfrm>
                      <a:off x="0" y="0"/>
                      <a:ext cx="2386616" cy="1711159"/>
                    </a:xfrm>
                    <a:prstGeom prst="rect">
                      <a:avLst/>
                    </a:prstGeom>
                  </pic:spPr>
                </pic:pic>
              </a:graphicData>
            </a:graphic>
          </wp:inline>
        </w:drawing>
      </w:r>
    </w:p>
    <w:p w14:paraId="04670029" w14:textId="77777777" w:rsidR="00F22B97" w:rsidRDefault="00F22B97" w:rsidP="00F22B97">
      <w:pPr>
        <w:tabs>
          <w:tab w:val="left" w:pos="288"/>
        </w:tabs>
      </w:pPr>
    </w:p>
    <w:p w14:paraId="7E7DCE40" w14:textId="03CA3FE4" w:rsidR="00F22B97" w:rsidRPr="00760EEC" w:rsidRDefault="00F22B97" w:rsidP="0083564F">
      <w:pPr>
        <w:tabs>
          <w:tab w:val="left" w:pos="288"/>
        </w:tabs>
        <w:jc w:val="center"/>
        <w:rPr>
          <w:b/>
          <w:bCs/>
        </w:rPr>
      </w:pPr>
      <w:r>
        <w:rPr>
          <w:b/>
          <w:bCs/>
        </w:rPr>
        <w:t>Fig. 6  Conic Sector of a Sphere with 90</w:t>
      </w:r>
      <w:r>
        <w:rPr>
          <w:b/>
          <w:bCs/>
          <w:vertAlign w:val="superscript"/>
        </w:rPr>
        <w:t>o</w:t>
      </w:r>
      <w:r>
        <w:rPr>
          <w:b/>
          <w:bCs/>
        </w:rPr>
        <w:t xml:space="preserve"> Apex </w:t>
      </w:r>
    </w:p>
    <w:p w14:paraId="547E3962" w14:textId="77777777" w:rsidR="00E63BA1" w:rsidRPr="0034616D" w:rsidRDefault="00E63BA1" w:rsidP="00E63BA1">
      <w:pPr>
        <w:spacing w:before="100" w:beforeAutospacing="1" w:after="100" w:afterAutospacing="1"/>
      </w:pPr>
      <w:r>
        <w:rPr>
          <w:b/>
          <w:bCs/>
        </w:rPr>
        <w:t>C. Rectilinear Trajectories</w:t>
      </w:r>
    </w:p>
    <w:p w14:paraId="096C4929" w14:textId="2F70D3BA" w:rsidR="00E63BA1" w:rsidRPr="0034616D" w:rsidRDefault="00E63BA1" w:rsidP="00E63BA1">
      <w:pPr>
        <w:spacing w:before="100" w:beforeAutospacing="1" w:after="100" w:afterAutospacing="1"/>
      </w:pPr>
      <w:r>
        <w:rPr>
          <w:b/>
          <w:bCs/>
        </w:rPr>
        <w:t>Postulate:</w:t>
      </w:r>
      <w:r>
        <w:t xml:space="preserve"> Rectilinear trajectories emanating from a spherical center, directed along the slant-height generators of a 90-degree cone satisfy Gauss's law evaluated at the intersection of the cone with any concentric sphere.</w:t>
      </w:r>
    </w:p>
    <w:p w14:paraId="1A3F5FB2" w14:textId="0A0A9CBF" w:rsidR="00E63BA1" w:rsidRDefault="00E63BA1" w:rsidP="00307729">
      <w:pPr>
        <w:tabs>
          <w:tab w:val="left" w:pos="288"/>
        </w:tabs>
        <w:ind w:firstLine="288"/>
      </w:pPr>
      <w:r>
        <w:t>As noted in Section IV.D, the rectilinear case (</w:t>
      </w:r>
      <w:r>
        <w:rPr>
          <w:i/>
          <w:iCs/>
        </w:rPr>
        <w:t>e</w:t>
      </w:r>
      <w:r>
        <w:t xml:space="preserve"> → 1, </w:t>
      </w:r>
      <w:proofErr w:type="spellStart"/>
      <w:r>
        <w:rPr>
          <w:i/>
          <w:iCs/>
        </w:rPr>
        <w:t>Φ</w:t>
      </w:r>
      <w:r>
        <w:rPr>
          <w:vertAlign w:val="subscript"/>
        </w:rPr>
        <w:t>h</w:t>
      </w:r>
      <w:proofErr w:type="spellEnd"/>
      <w:r>
        <w:t xml:space="preserve"> → 45°) has </w:t>
      </w:r>
      <w:r>
        <w:rPr>
          <w:i/>
          <w:iCs/>
        </w:rPr>
        <w:t>R</w:t>
      </w:r>
      <w:r>
        <w:t xml:space="preserve"> = </w:t>
      </w:r>
      <w:r>
        <w:rPr>
          <w:i/>
          <w:iCs/>
        </w:rPr>
        <w:t>r</w:t>
      </w:r>
      <w:r>
        <w:t xml:space="preserve"> and no rotational component. Gauss's law applied over the full sphere recovers the standard result </w:t>
      </w:r>
      <m:oMath>
        <m:nary>
          <m:naryPr>
            <m:limLoc m:val="undOvr"/>
            <m:subHide m:val="1"/>
            <m:supHide m:val="1"/>
            <m:ctrlPr>
              <w:rPr>
                <w:rFonts w:ascii="Cambria Math" w:hAnsi="Cambria Math"/>
                <w:i/>
              </w:rPr>
            </m:ctrlPr>
          </m:naryPr>
          <m:sub/>
          <m:sup/>
          <m:e>
            <m:r>
              <m:rPr>
                <m:sty m:val="b"/>
              </m:rPr>
              <w:rPr>
                <w:rFonts w:ascii="Cambria Math" w:hAnsi="Cambria Math"/>
              </w:rPr>
              <m:t xml:space="preserve">g </m:t>
            </m:r>
            <m:r>
              <w:rPr>
                <w:rFonts w:ascii="Cambria Math" w:hAnsi="Cambria Math"/>
              </w:rPr>
              <m:t>dA=-4πμ</m:t>
            </m:r>
          </m:e>
        </m:nary>
      </m:oMath>
      <w:r>
        <w:t>, confirming the conical framework reduces correctly to the classical limit. Because the rectilinear trajectory does not close, it has no orbital period solution and is not developed further here.</w:t>
      </w:r>
    </w:p>
    <w:p w14:paraId="7DF54D2D" w14:textId="348CC6BD" w:rsidR="008A7F3B" w:rsidRDefault="008A7F3B" w:rsidP="008A7F3B">
      <w:pPr>
        <w:pStyle w:val="font-claude-response-body"/>
      </w:pPr>
      <w:r>
        <w:rPr>
          <w:rStyle w:val="Strong"/>
        </w:rPr>
        <w:t>D. Dynamic Extension of the Flux Integral</w:t>
      </w:r>
    </w:p>
    <w:p w14:paraId="75500189" w14:textId="712AB1D1" w:rsidR="008160F5" w:rsidRDefault="00142827" w:rsidP="00307729">
      <w:pPr>
        <w:tabs>
          <w:tab w:val="left" w:pos="288"/>
        </w:tabs>
        <w:ind w:firstLine="288"/>
      </w:pPr>
      <w:r>
        <w:t xml:space="preserve">The flux invariance of Section VI.B establishes that Gauss's law applies at every point along the orbit. To extract a time-displacement relationship, that instantaneous result is extended by integrating the flux accumulation as the satellite advances from periapsis. Figure 7 shows the disk geometry. The annular disk at slant height R has circumradius </w:t>
      </w:r>
      <w:r>
        <w:rPr>
          <w:i/>
          <w:iCs/>
        </w:rPr>
        <w:t>R</w:t>
      </w:r>
      <w:r>
        <w:t xml:space="preserve">′ and incremental width </w:t>
      </w:r>
      <w:proofErr w:type="spellStart"/>
      <w:r>
        <w:t>d</w:t>
      </w:r>
      <w:r>
        <w:rPr>
          <w:i/>
          <w:iCs/>
        </w:rPr>
        <w:t>R</w:t>
      </w:r>
      <w:proofErr w:type="spellEnd"/>
      <w:r>
        <w:t xml:space="preserve"> along the cone surface. The inner integral sweeps the circumference through azimuthal angle </w:t>
      </w:r>
      <w:r>
        <w:rPr>
          <w:i/>
          <w:iCs/>
        </w:rPr>
        <w:t>Θ</w:t>
      </w:r>
      <w:r>
        <w:t xml:space="preserve"> at fixed R, yielding the factor 2π. The outer integral accumulates flux as </w:t>
      </w:r>
      <w:r>
        <w:rPr>
          <w:i/>
          <w:iCs/>
        </w:rPr>
        <w:t>R</w:t>
      </w:r>
      <w:r>
        <w:t xml:space="preserve"> advances from </w:t>
      </w:r>
      <w:proofErr w:type="spellStart"/>
      <w:r>
        <w:rPr>
          <w:i/>
          <w:iCs/>
        </w:rPr>
        <w:t>R</w:t>
      </w:r>
      <w:r>
        <w:t xml:space="preserve"> at</w:t>
      </w:r>
      <w:proofErr w:type="spellEnd"/>
      <w:r>
        <w:t xml:space="preserve"> periapsis to </w:t>
      </w:r>
      <w:r>
        <w:rPr>
          <w:i/>
          <w:iCs/>
        </w:rPr>
        <w:t>R</w:t>
      </w:r>
      <w:r>
        <w:t>(</w:t>
      </w:r>
      <w:r>
        <w:rPr>
          <w:i/>
          <w:iCs/>
        </w:rPr>
        <w:t>E</w:t>
      </w:r>
      <w:r>
        <w:t xml:space="preserve">) and substituting </w:t>
      </w:r>
      <m:oMath>
        <m:r>
          <w:rPr>
            <w:rFonts w:ascii="Cambria Math" w:hAnsi="Cambria Math"/>
          </w:rPr>
          <m:t>dR/dt=Ṙ</m:t>
        </m:r>
      </m:oMath>
      <w:r>
        <w:t xml:space="preserve"> gives Eq. (13).</w:t>
      </w:r>
    </w:p>
    <w:p w14:paraId="6DED87CD" w14:textId="6B1382E8" w:rsidR="00287C65" w:rsidRDefault="006F33C6" w:rsidP="00F166C2">
      <w:pPr>
        <w:pStyle w:val="font-claude-response-body"/>
        <w:jc w:val="right"/>
        <w:rPr>
          <w:sz w:val="20"/>
          <w:szCs w:val="20"/>
        </w:rPr>
      </w:pPr>
      <w:r>
        <w:rPr>
          <w:noProof/>
          <w:position w:val="-37"/>
        </w:rPr>
        <w:drawing>
          <wp:inline distT="0" distB="0" distL="0" distR="0" wp14:anchorId="46CA4B17" wp14:editId="29E35A4D">
            <wp:extent cx="1552575" cy="366104"/>
            <wp:effectExtent l="0" t="0" r="0" b="0"/>
            <wp:docPr id="89496898" name="Picture 89496898" descr="{&quot;mathml&quot;:&quot;&lt;math style=\&quot;font-family:stix;font-size:16px;\&quot; xmlns=\&quot;http://www.w3.org/1998/Math/MathML\&quot;&gt;&lt;mi&gt;&amp;#x3A8;&lt;/mi&gt;&lt;mo&gt;=&lt;/mo&gt;&lt;mi&gt;&amp;#x3BC;&lt;/mi&gt;&lt;mo&gt;&amp;#xA0;&lt;/mo&gt;&lt;mi&gt;sin&lt;/mi&gt;&lt;mo&gt;&amp;#xA0;&lt;/mo&gt;&lt;msub&gt;&lt;mi&gt;&amp;#x3A6;&lt;/mi&gt;&lt;mi&gt;h&lt;/mi&gt;&lt;/msub&gt;&lt;msubsup&gt;&lt;mo&gt;&amp;#x222B;&lt;/mo&gt;&lt;mn&gt;0&lt;/mn&gt;&lt;mi&gt;t&lt;/mi&gt;&lt;/msubsup&gt;&lt;msubsup&gt;&lt;mo&gt;&amp;#x222B;&lt;/mo&gt;&lt;mn&gt;0&lt;/mn&gt;&lt;mrow&gt;&lt;mn&gt;2&lt;/mn&gt;&lt;mi&gt;&amp;#x3C0;&lt;/mi&gt;&lt;/mrow&gt;&lt;/msubsup&gt;&lt;mfrac&gt;&lt;mover&gt;&lt;mi&gt;R&lt;/mi&gt;&lt;mo&gt;&amp;#x2D9;&lt;/mo&gt;&lt;/mover&gt;&lt;mi&gt;R&lt;/mi&gt;&lt;/mfrac&gt;&lt;mi&gt;d&lt;/mi&gt;&lt;mi&gt;&amp;#x3B1;&lt;/mi&gt;&lt;mo&gt;&amp;#xA0;&lt;/mo&gt;&lt;mi&gt;d&lt;/mi&gt;&lt;mi&gt;t&lt;/mi&gt;&lt;/math&gt;&quot;,&quot;origin&quot;:&quot;MathType Legacy&quot;,&quot;version&quot;:&quot;v3.26.0&quot;}" title="capital psi equals mu space sin space capital phi subscript h integral subscript 0 superscript t integral subscript 0 superscript 2 pi end superscript fraction numerator R with dot on top over denominator R end fraction d alpha space d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amp;#x3A8;&lt;/mi&gt;&lt;mo&gt;=&lt;/mo&gt;&lt;mi&gt;&amp;#x3BC;&lt;/mi&gt;&lt;mo&gt;&amp;#xA0;&lt;/mo&gt;&lt;mi&gt;sin&lt;/mi&gt;&lt;mo&gt;&amp;#xA0;&lt;/mo&gt;&lt;msub&gt;&lt;mi&gt;&amp;#x3A6;&lt;/mi&gt;&lt;mi&gt;h&lt;/mi&gt;&lt;/msub&gt;&lt;msubsup&gt;&lt;mo&gt;&amp;#x222B;&lt;/mo&gt;&lt;mn&gt;0&lt;/mn&gt;&lt;mi&gt;t&lt;/mi&gt;&lt;/msubsup&gt;&lt;msubsup&gt;&lt;mo&gt;&amp;#x222B;&lt;/mo&gt;&lt;mn&gt;0&lt;/mn&gt;&lt;mrow&gt;&lt;mn&gt;2&lt;/mn&gt;&lt;mi&gt;&amp;#x3C0;&lt;/mi&gt;&lt;/mrow&gt;&lt;/msubsup&gt;&lt;mfrac&gt;&lt;mover&gt;&lt;mi&gt;R&lt;/mi&gt;&lt;mo&gt;&amp;#x2D9;&lt;/mo&gt;&lt;/mover&gt;&lt;mi&gt;R&lt;/mi&gt;&lt;/mfrac&gt;&lt;mi&gt;d&lt;/mi&gt;&lt;mi&gt;&amp;#x3B1;&lt;/mi&gt;&lt;mo&gt;&amp;#xA0;&lt;/mo&gt;&lt;mi&gt;d&lt;/mi&gt;&lt;mi&gt;t&lt;/mi&gt;&lt;/math&gt;&quot;,&quot;origin&quot;:&quot;MathType Legacy&quot;,&quot;version&quot;:&quot;v3.26.0&quot;}" title="capital psi equals mu space sin space capital phi subscript h integral subscript 0 superscript t integral subscript 0 superscript 2 pi end superscript fraction numerator R with dot on top over denominator R end fraction d alpha space d 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87395" cy="374315"/>
                    </a:xfrm>
                    <a:prstGeom prst="rect">
                      <a:avLst/>
                    </a:prstGeom>
                  </pic:spPr>
                </pic:pic>
              </a:graphicData>
            </a:graphic>
          </wp:inline>
        </w:drawing>
      </w:r>
      <w:r>
        <w:rPr>
          <w:sz w:val="20"/>
          <w:szCs w:val="20"/>
        </w:rPr>
        <w:t xml:space="preserve">                                                              (13)</w:t>
      </w:r>
    </w:p>
    <w:p w14:paraId="2DB395AB" w14:textId="6F68EA2F" w:rsidR="006C0BE1" w:rsidRDefault="006C0BE1" w:rsidP="006C0BE1">
      <w:pPr>
        <w:pStyle w:val="font-claude-response-body"/>
        <w:jc w:val="center"/>
        <w:rPr>
          <w:sz w:val="20"/>
          <w:szCs w:val="20"/>
        </w:rPr>
      </w:pPr>
      <w:r>
        <w:rPr>
          <w:noProof/>
          <w:sz w:val="20"/>
          <w:szCs w:val="20"/>
        </w:rPr>
        <w:drawing>
          <wp:inline distT="0" distB="0" distL="0" distR="0" wp14:anchorId="26ECFF31" wp14:editId="34580F18">
            <wp:extent cx="2266950" cy="1574272"/>
            <wp:effectExtent l="0" t="0" r="0" b="6985"/>
            <wp:docPr id="84618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87362" name=""/>
                    <pic:cNvPicPr/>
                  </pic:nvPicPr>
                  <pic:blipFill>
                    <a:blip r:embed="rId29"/>
                    <a:stretch>
                      <a:fillRect/>
                    </a:stretch>
                  </pic:blipFill>
                  <pic:spPr>
                    <a:xfrm>
                      <a:off x="0" y="0"/>
                      <a:ext cx="2278428" cy="1582243"/>
                    </a:xfrm>
                    <a:prstGeom prst="rect">
                      <a:avLst/>
                    </a:prstGeom>
                  </pic:spPr>
                </pic:pic>
              </a:graphicData>
            </a:graphic>
          </wp:inline>
        </w:drawing>
      </w:r>
    </w:p>
    <w:p w14:paraId="2DC33A3A" w14:textId="7B1CE71D" w:rsidR="006C0BE1" w:rsidRPr="002B0E87" w:rsidRDefault="006C0BE1" w:rsidP="00F07DBC">
      <w:pPr>
        <w:pStyle w:val="font-claude-response-body"/>
        <w:jc w:val="center"/>
        <w:rPr>
          <w:b/>
          <w:bCs/>
          <w:sz w:val="20"/>
          <w:szCs w:val="20"/>
        </w:rPr>
      </w:pPr>
      <w:r>
        <w:rPr>
          <w:b/>
          <w:bCs/>
          <w:sz w:val="20"/>
          <w:szCs w:val="20"/>
        </w:rPr>
        <w:t xml:space="preserve">Fig.7  Disk at Slant Height R Showing Circumradius </w:t>
      </w:r>
      <w:proofErr w:type="gramStart"/>
      <w:r>
        <w:rPr>
          <w:b/>
          <w:bCs/>
          <w:i/>
          <w:iCs/>
          <w:sz w:val="20"/>
          <w:szCs w:val="20"/>
        </w:rPr>
        <w:t>R′</w:t>
      </w:r>
      <w:r>
        <w:rPr>
          <w:b/>
          <w:bCs/>
          <w:sz w:val="20"/>
          <w:szCs w:val="20"/>
        </w:rPr>
        <w:t>,</w:t>
      </w:r>
      <w:proofErr w:type="gramEnd"/>
      <w:r>
        <w:rPr>
          <w:b/>
          <w:bCs/>
          <w:sz w:val="20"/>
          <w:szCs w:val="20"/>
        </w:rPr>
        <w:t xml:space="preserve"> Increment </w:t>
      </w:r>
      <w:proofErr w:type="spellStart"/>
      <w:r>
        <w:rPr>
          <w:b/>
          <w:bCs/>
          <w:sz w:val="20"/>
          <w:szCs w:val="20"/>
        </w:rPr>
        <w:t>d</w:t>
      </w:r>
      <w:r>
        <w:rPr>
          <w:b/>
          <w:bCs/>
          <w:i/>
          <w:iCs/>
          <w:sz w:val="20"/>
          <w:szCs w:val="20"/>
        </w:rPr>
        <w:t>R</w:t>
      </w:r>
      <w:proofErr w:type="spellEnd"/>
      <w:r>
        <w:rPr>
          <w:b/>
          <w:bCs/>
          <w:sz w:val="20"/>
          <w:szCs w:val="20"/>
        </w:rPr>
        <w:t xml:space="preserve">, and Azimuthal Angle </w:t>
      </w:r>
      <w:r>
        <w:rPr>
          <w:b/>
          <w:bCs/>
          <w:i/>
          <w:iCs/>
          <w:sz w:val="20"/>
          <w:szCs w:val="20"/>
        </w:rPr>
        <w:t>Θ</w:t>
      </w:r>
    </w:p>
    <w:p w14:paraId="6C4433C2" w14:textId="77777777" w:rsidR="008A7F3B" w:rsidRPr="008A7F3B" w:rsidRDefault="008A7F3B" w:rsidP="008A7F3B">
      <w:pPr>
        <w:pStyle w:val="font-claude-response-body"/>
        <w:rPr>
          <w:sz w:val="20"/>
          <w:szCs w:val="20"/>
        </w:rPr>
      </w:pPr>
      <w:r>
        <w:rPr>
          <w:sz w:val="20"/>
          <w:szCs w:val="20"/>
        </w:rPr>
        <w:t>Evaluating the inner integral over the full circumference,</w:t>
      </w:r>
    </w:p>
    <w:p w14:paraId="0F8293D6" w14:textId="09A87D8F" w:rsidR="008A7F3B" w:rsidRDefault="00DC0972" w:rsidP="008A7F3B">
      <w:pPr>
        <w:pStyle w:val="font-claude-response-body"/>
        <w:jc w:val="right"/>
      </w:pPr>
      <w:r>
        <w:rPr>
          <w:noProof/>
          <w:position w:val="-37"/>
        </w:rPr>
        <w:drawing>
          <wp:inline distT="0" distB="0" distL="0" distR="0" wp14:anchorId="1FE5960B" wp14:editId="163072FC">
            <wp:extent cx="1266825" cy="365807"/>
            <wp:effectExtent l="0" t="0" r="0" b="0"/>
            <wp:docPr id="1937105541" name="Picture 1937105541" descr="{&quot;mathml&quot;:&quot;&lt;math style=\&quot;font-family:stix;font-size:16px;\&quot; xmlns=\&quot;http://www.w3.org/1998/Math/MathML\&quot;&gt;&lt;mi&gt;&amp;#x3A8;&lt;/mi&gt;&lt;mo&gt;=&lt;/mo&gt;&lt;mn&gt;2&lt;/mn&gt;&lt;mi&gt;&amp;#x3C0;&lt;/mi&gt;&lt;mo&gt;&amp;#xA0;&lt;/mo&gt;&lt;mi&gt;&amp;#x3BC;&lt;/mi&gt;&lt;mo&gt;&amp;#xA0;&lt;/mo&gt;&lt;mi&gt;sin&lt;/mi&gt;&lt;mo&gt;&amp;#xA0;&lt;/mo&gt;&lt;msub&gt;&lt;mi&gt;&amp;#x3A6;&lt;/mi&gt;&lt;mi&gt;h&lt;/mi&gt;&lt;/msub&gt;&lt;msubsup&gt;&lt;mo&gt;&amp;#x222B;&lt;/mo&gt;&lt;mn&gt;0&lt;/mn&gt;&lt;mi&gt;t&lt;/mi&gt;&lt;/msubsup&gt;&lt;mfrac&gt;&lt;mover&gt;&lt;mi&gt;R&lt;/mi&gt;&lt;mo&gt;&amp;#x2D9;&lt;/mo&gt;&lt;/mover&gt;&lt;mi&gt;R&lt;/mi&gt;&lt;/mfrac&gt;&lt;mi&gt;d&lt;/mi&gt;&lt;mi&gt;t&lt;/mi&gt;&lt;/math&gt;&quot;,&quot;origin&quot;:&quot;MathType Legacy&quot;,&quot;version&quot;:&quot;v3.26.0&quot;}" title="capital psi equals 2 pi space mu space sin space capital phi subscript h integral subscript 0 superscript t fraction numerator R with dot on top over denominator R end fraction d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amp;#x3A8;&lt;/mi&gt;&lt;mo&gt;=&lt;/mo&gt;&lt;mn&gt;2&lt;/mn&gt;&lt;mi&gt;&amp;#x3C0;&lt;/mi&gt;&lt;mo&gt;&amp;#xA0;&lt;/mo&gt;&lt;mi&gt;&amp;#x3BC;&lt;/mi&gt;&lt;mo&gt;&amp;#xA0;&lt;/mo&gt;&lt;mi&gt;sin&lt;/mi&gt;&lt;mo&gt;&amp;#xA0;&lt;/mo&gt;&lt;msub&gt;&lt;mi&gt;&amp;#x3A6;&lt;/mi&gt;&lt;mi&gt;h&lt;/mi&gt;&lt;/msub&gt;&lt;msubsup&gt;&lt;mo&gt;&amp;#x222B;&lt;/mo&gt;&lt;mn&gt;0&lt;/mn&gt;&lt;mi&gt;t&lt;/mi&gt;&lt;/msubsup&gt;&lt;mfrac&gt;&lt;mover&gt;&lt;mi&gt;R&lt;/mi&gt;&lt;mo&gt;&amp;#x2D9;&lt;/mo&gt;&lt;/mover&gt;&lt;mi&gt;R&lt;/mi&gt;&lt;/mfrac&gt;&lt;mi&gt;d&lt;/mi&gt;&lt;mi&gt;t&lt;/mi&gt;&lt;/math&gt;&quot;,&quot;origin&quot;:&quot;MathType Legacy&quot;,&quot;version&quot;:&quot;v3.26.0&quot;}" title="capital psi equals 2 pi space mu space sin space capital phi subscript h integral subscript 0 superscript t fraction numerator R with dot on top over denominator R end fraction d 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04456" cy="376673"/>
                    </a:xfrm>
                    <a:prstGeom prst="rect">
                      <a:avLst/>
                    </a:prstGeom>
                  </pic:spPr>
                </pic:pic>
              </a:graphicData>
            </a:graphic>
          </wp:inline>
        </w:drawing>
      </w:r>
      <w:r>
        <w:t xml:space="preserve">                                                     </w:t>
      </w:r>
      <w:r>
        <w:rPr>
          <w:sz w:val="20"/>
          <w:szCs w:val="20"/>
        </w:rPr>
        <w:t>(14)</w:t>
      </w:r>
    </w:p>
    <w:p w14:paraId="1F6E440C" w14:textId="77777777" w:rsidR="008A7F3B" w:rsidRPr="008A7F3B" w:rsidRDefault="008A7F3B" w:rsidP="008A7F3B">
      <w:pPr>
        <w:pStyle w:val="font-claude-response-body"/>
        <w:rPr>
          <w:sz w:val="20"/>
          <w:szCs w:val="20"/>
        </w:rPr>
      </w:pPr>
      <w:r>
        <w:rPr>
          <w:sz w:val="20"/>
          <w:szCs w:val="20"/>
        </w:rPr>
        <w:t xml:space="preserve">The integrand </w:t>
      </w:r>
      <w:r>
        <w:rPr>
          <w:i/>
          <w:iCs/>
          <w:sz w:val="20"/>
          <w:szCs w:val="20"/>
        </w:rPr>
        <w:t>Ṙ/R</w:t>
      </w:r>
      <w:r>
        <w:rPr>
          <w:sz w:val="20"/>
          <w:szCs w:val="20"/>
        </w:rPr>
        <w:t xml:space="preserve"> is the logarithmic derivative of </w:t>
      </w:r>
      <w:r>
        <w:rPr>
          <w:i/>
          <w:iCs/>
          <w:sz w:val="20"/>
          <w:szCs w:val="20"/>
        </w:rPr>
        <w:t>R</w:t>
      </w:r>
      <w:r>
        <w:rPr>
          <w:sz w:val="20"/>
          <w:szCs w:val="20"/>
        </w:rPr>
        <w:t>, so the accumulated flux integral evaluates exactly to</w:t>
      </w:r>
    </w:p>
    <w:p w14:paraId="49485E38" w14:textId="4ABCA937" w:rsidR="00F07DBC" w:rsidRPr="00622365" w:rsidRDefault="00DC0972" w:rsidP="00F07DBC">
      <w:pPr>
        <w:pStyle w:val="font-claude-response-body"/>
        <w:jc w:val="right"/>
        <w:rPr>
          <w:sz w:val="20"/>
          <w:szCs w:val="20"/>
        </w:rPr>
      </w:pPr>
      <w:r>
        <w:rPr>
          <w:noProof/>
          <w:position w:val="-41"/>
        </w:rPr>
        <w:drawing>
          <wp:inline distT="0" distB="0" distL="0" distR="0" wp14:anchorId="42B486EF" wp14:editId="5405D8B3">
            <wp:extent cx="1370444" cy="344805"/>
            <wp:effectExtent l="0" t="0" r="1270" b="0"/>
            <wp:docPr id="2094874698" name="Picture 2094874698" descr="{&quot;mathml&quot;:&quot;&lt;math style=\&quot;font-family:stix;font-size:16px;\&quot; xmlns=\&quot;http://www.w3.org/1998/Math/MathML\&quot;&gt;&lt;mi&gt;&amp;#x3A8;&lt;/mi&gt;&lt;mo&gt;=&lt;/mo&gt;&lt;mn&gt;2&lt;/mn&gt;&lt;mi mathvariant=\&quot;normal\&quot;&gt;&amp;#x3C0;&lt;/mi&gt;&lt;mo&gt;&amp;#xA0;&lt;/mo&gt;&lt;mi&gt;&amp;#x3BC;&lt;/mi&gt;&lt;mo&gt;sin&lt;/mo&gt;&lt;msub&gt;&lt;mi&gt;&amp;#x3A6;&lt;/mi&gt;&lt;mi&gt;h&lt;/mi&gt;&lt;/msub&gt;&lt;mi&gt;ln&lt;/mi&gt;&lt;mfenced&gt;&lt;mfrac&gt;&lt;mrow&gt;&lt;mi&gt;R&lt;/mi&gt;&lt;mfenced&gt;&lt;mi&gt;E&lt;/mi&gt;&lt;/mfenced&gt;&lt;/mrow&gt;&lt;msub&gt;&lt;mi&gt;R&lt;/mi&gt;&lt;mi&gt;P&lt;/mi&gt;&lt;/msub&gt;&lt;/mfrac&gt;&lt;/mfenced&gt;&lt;/math&gt;&quot;,&quot;origin&quot;:&quot;MathType Legacy&quot;,&quot;version&quot;:&quot;v3.26.0&quot;}" title="capital psi equals 2 straight pi space mu sin capital phi subscript h ln open parentheses fraction numerator R open parentheses E close parentheses over denominator R subscript P end fraction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amp;#x3A8;&lt;/mi&gt;&lt;mo&gt;=&lt;/mo&gt;&lt;mn&gt;2&lt;/mn&gt;&lt;mi mathvariant=\&quot;normal\&quot;&gt;&amp;#x3C0;&lt;/mi&gt;&lt;mo&gt;&amp;#xA0;&lt;/mo&gt;&lt;mi&gt;&amp;#x3BC;&lt;/mi&gt;&lt;mo&gt;sin&lt;/mo&gt;&lt;msub&gt;&lt;mi&gt;&amp;#x3A6;&lt;/mi&gt;&lt;mi&gt;h&lt;/mi&gt;&lt;/msub&gt;&lt;mi&gt;ln&lt;/mi&gt;&lt;mfenced&gt;&lt;mfrac&gt;&lt;mrow&gt;&lt;mi&gt;R&lt;/mi&gt;&lt;mfenced&gt;&lt;mi&gt;E&lt;/mi&gt;&lt;/mfenced&gt;&lt;/mrow&gt;&lt;msub&gt;&lt;mi&gt;R&lt;/mi&gt;&lt;mi&gt;P&lt;/mi&gt;&lt;/msub&gt;&lt;/mfrac&gt;&lt;/mfenced&gt;&lt;/math&gt;&quot;,&quot;origin&quot;:&quot;MathType Legacy&quot;,&quot;version&quot;:&quot;v3.26.0&quot;}" title="capital psi equals 2 straight pi space mu sin capital phi subscript h ln open parentheses fraction numerator R open parentheses E close parentheses over denominator R subscript P end fraction close parentheses"/>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00793" cy="352441"/>
                    </a:xfrm>
                    <a:prstGeom prst="rect">
                      <a:avLst/>
                    </a:prstGeom>
                  </pic:spPr>
                </pic:pic>
              </a:graphicData>
            </a:graphic>
          </wp:inline>
        </w:drawing>
      </w:r>
      <w:r>
        <w:t xml:space="preserve">                                                   </w:t>
      </w:r>
      <w:r>
        <w:rPr>
          <w:sz w:val="20"/>
          <w:szCs w:val="20"/>
        </w:rPr>
        <w:t>(15)</w:t>
      </w:r>
    </w:p>
    <w:p w14:paraId="6B3A2612" w14:textId="7A22401E" w:rsidR="008A7F3B" w:rsidRPr="008A7F3B" w:rsidRDefault="00C870F7" w:rsidP="00307729">
      <w:pPr>
        <w:tabs>
          <w:tab w:val="left" w:pos="288"/>
        </w:tabs>
        <w:ind w:firstLine="288"/>
      </w:pPr>
      <w:r>
        <w:t xml:space="preserve">For the Newton-Raphson positioning scheme developed in Section VI.E, it is convenient to define the logarithmic position variable </w:t>
      </w:r>
      <m:oMath>
        <m:r>
          <w:rPr>
            <w:rFonts w:ascii="Cambria Math" w:hAnsi="Cambria Math"/>
            <w:sz w:val="18"/>
            <w:szCs w:val="18"/>
          </w:rPr>
          <m:t>λ=ln</m:t>
        </m:r>
        <m:d>
          <m:dPr>
            <m:begChr m:val="["/>
            <m:endChr m:val="]"/>
            <m:ctrlPr>
              <w:rPr>
                <w:rFonts w:ascii="Cambria Math" w:hAnsi="Cambria Math"/>
                <w:sz w:val="18"/>
                <w:szCs w:val="18"/>
              </w:rPr>
            </m:ctrlPr>
          </m:dPr>
          <m:e>
            <m:r>
              <w:rPr>
                <w:rFonts w:ascii="Cambria Math" w:hAnsi="Cambria Math"/>
                <w:sz w:val="18"/>
                <w:szCs w:val="18"/>
              </w:rPr>
              <m:t>R</m:t>
            </m:r>
            <m:d>
              <m:dPr>
                <m:ctrlPr>
                  <w:rPr>
                    <w:rFonts w:ascii="Cambria Math" w:hAnsi="Cambria Math"/>
                    <w:sz w:val="18"/>
                    <w:szCs w:val="18"/>
                  </w:rPr>
                </m:ctrlPr>
              </m:dPr>
              <m:e>
                <m:r>
                  <w:rPr>
                    <w:rFonts w:ascii="Cambria Math" w:hAnsi="Cambria Math"/>
                    <w:sz w:val="18"/>
                    <w:szCs w:val="18"/>
                  </w:rPr>
                  <m:t>E</m:t>
                </m:r>
              </m:e>
            </m:d>
            <m:r>
              <w:rPr>
                <w:rFonts w:ascii="Cambria Math" w:hAnsi="Cambria Math"/>
                <w:sz w:val="18"/>
                <w:szCs w:val="18"/>
              </w:rPr>
              <m:t>/RP</m:t>
            </m:r>
          </m:e>
        </m:d>
      </m:oMath>
      <w:r>
        <w:t xml:space="preserve">, so that Eq. (15) shows </w:t>
      </w:r>
      <w:r>
        <w:rPr>
          <w:i/>
          <w:iCs/>
        </w:rPr>
        <w:t>Ψ</w:t>
      </w:r>
      <w:r>
        <w:t xml:space="preserve"> is directly proportional to </w:t>
      </w:r>
      <w:r>
        <w:rPr>
          <w:i/>
          <w:iCs/>
        </w:rPr>
        <w:t>λ</w:t>
      </w:r>
      <w:r>
        <w:t xml:space="preserve">. The variable </w:t>
      </w:r>
      <w:r>
        <w:rPr>
          <w:i/>
          <w:iCs/>
        </w:rPr>
        <w:t>λ</w:t>
      </w:r>
      <w:r>
        <w:t xml:space="preserve"> ranges from zero at periapsis to </w:t>
      </w:r>
      <m:oMath>
        <m:r>
          <w:rPr>
            <w:rFonts w:ascii="Cambria Math" w:hAnsi="Cambria Math"/>
            <w:sz w:val="18"/>
            <w:szCs w:val="18"/>
          </w:rPr>
          <m:t>tanh⁻¹</m:t>
        </m:r>
        <m:d>
          <m:dPr>
            <m:ctrlPr>
              <w:rPr>
                <w:rFonts w:ascii="Cambria Math" w:hAnsi="Cambria Math"/>
                <w:sz w:val="18"/>
                <w:szCs w:val="18"/>
              </w:rPr>
            </m:ctrlPr>
          </m:dPr>
          <m:e>
            <m:r>
              <w:rPr>
                <w:rFonts w:ascii="Cambria Math" w:hAnsi="Cambria Math"/>
                <w:sz w:val="18"/>
                <w:szCs w:val="18"/>
              </w:rPr>
              <m:t>e</m:t>
            </m:r>
          </m:e>
        </m:d>
      </m:oMath>
      <w:r>
        <w:t xml:space="preserve"> at apoapsis and provides a geometrically uniform measure of orbital progress along the cone surface. This result has a direct physical reading: the gravitational flux accumulated through the conic sector from periapsis to the current position is proportional to the logarithm of the slant-height ratio. At periapsis </w:t>
      </w:r>
      <m:oMath>
        <m:r>
          <w:rPr>
            <w:rFonts w:ascii="Cambria Math" w:hAnsi="Cambria Math"/>
            <w:sz w:val="18"/>
            <w:szCs w:val="18"/>
          </w:rPr>
          <m:t>R=</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P</m:t>
            </m:r>
          </m:sub>
        </m:sSub>
        <m:r>
          <w:rPr>
            <w:rFonts w:ascii="Cambria Math" w:hAnsi="Cambria Math"/>
            <w:sz w:val="18"/>
            <w:szCs w:val="18"/>
          </w:rPr>
          <m:t xml:space="preserve"> </m:t>
        </m:r>
      </m:oMath>
      <w:r>
        <w:rPr>
          <w:sz w:val="18"/>
          <w:szCs w:val="18"/>
        </w:rPr>
        <w:t xml:space="preserve">and </w:t>
      </w:r>
      <m:oMath>
        <m:r>
          <w:rPr>
            <w:rFonts w:ascii="Cambria Math" w:hAnsi="Cambria Math"/>
            <w:sz w:val="18"/>
            <w:szCs w:val="18"/>
          </w:rPr>
          <m:t>λ=0</m:t>
        </m:r>
      </m:oMath>
      <w:r>
        <w:t xml:space="preserve">; at apoapsis </w:t>
      </w:r>
      <m:oMath>
        <m:r>
          <w:rPr>
            <w:rFonts w:ascii="Cambria Math" w:hAnsi="Cambria Math"/>
            <w:sz w:val="18"/>
            <w:szCs w:val="18"/>
          </w:rPr>
          <m:t>R=</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A</m:t>
            </m:r>
          </m:sub>
        </m:sSub>
      </m:oMath>
      <w:r>
        <w:t xml:space="preserve"> and </w:t>
      </w:r>
      <m:oMath>
        <m:r>
          <w:rPr>
            <w:rFonts w:ascii="Cambria Math" w:hAnsi="Cambria Math"/>
            <w:sz w:val="18"/>
            <w:szCs w:val="18"/>
          </w:rPr>
          <m:t>λ=tanh⁻¹</m:t>
        </m:r>
        <m:d>
          <m:dPr>
            <m:ctrlPr>
              <w:rPr>
                <w:rFonts w:ascii="Cambria Math" w:hAnsi="Cambria Math"/>
                <w:sz w:val="18"/>
                <w:szCs w:val="18"/>
              </w:rPr>
            </m:ctrlPr>
          </m:dPr>
          <m:e>
            <m:r>
              <w:rPr>
                <w:rFonts w:ascii="Cambria Math" w:hAnsi="Cambria Math"/>
                <w:sz w:val="18"/>
                <w:szCs w:val="18"/>
              </w:rPr>
              <m:t>e</m:t>
            </m:r>
          </m:e>
        </m:d>
      </m:oMath>
      <w:r>
        <w:t>, recovering the apse-ratio identity established geometrically in Section VI.B.</w:t>
      </w:r>
    </w:p>
    <w:p w14:paraId="30D3792D" w14:textId="4E8F5735" w:rsidR="008A7F3B" w:rsidRPr="008A7F3B" w:rsidRDefault="008A7F3B" w:rsidP="008A7F3B">
      <w:pPr>
        <w:pStyle w:val="font-claude-response-body"/>
        <w:rPr>
          <w:sz w:val="20"/>
          <w:szCs w:val="20"/>
        </w:rPr>
      </w:pPr>
      <w:r>
        <w:rPr>
          <w:sz w:val="20"/>
          <w:szCs w:val="20"/>
        </w:rPr>
        <w:t>To connect Eq. (15) to the orbital time history, Ṙ is expressed in terms of the eccentric anomaly E. With R</w:t>
      </w:r>
      <w:r>
        <w:rPr>
          <w:sz w:val="20"/>
          <w:szCs w:val="20"/>
          <w:vertAlign w:val="superscript"/>
        </w:rPr>
        <w:t>2</w:t>
      </w:r>
      <w:r>
        <w:rPr>
          <w:sz w:val="20"/>
          <w:szCs w:val="20"/>
        </w:rPr>
        <w:t xml:space="preserve"> = r</w:t>
      </w:r>
      <w:r>
        <w:rPr>
          <w:sz w:val="20"/>
          <w:szCs w:val="20"/>
          <w:vertAlign w:val="superscript"/>
        </w:rPr>
        <w:t>2</w:t>
      </w:r>
      <w:r>
        <w:rPr>
          <w:sz w:val="20"/>
          <w:szCs w:val="20"/>
        </w:rPr>
        <w:t xml:space="preserve"> +ap,    differentiation and the standard result ṙ = (√μ/a) · e sin E / (1 − e cos E) give       </w:t>
      </w:r>
    </w:p>
    <w:p w14:paraId="277F8AB3" w14:textId="22D40D20" w:rsidR="00F07DBC" w:rsidRDefault="00DC0972" w:rsidP="00F07DBC">
      <w:pPr>
        <w:pStyle w:val="font-claude-response-body"/>
        <w:jc w:val="right"/>
      </w:pPr>
      <w:r>
        <w:rPr>
          <w:noProof/>
          <w:position w:val="-39"/>
        </w:rPr>
        <w:drawing>
          <wp:inline distT="0" distB="0" distL="0" distR="0" wp14:anchorId="76FC9E39" wp14:editId="56B129E1">
            <wp:extent cx="1247775" cy="376495"/>
            <wp:effectExtent l="0" t="0" r="0" b="5080"/>
            <wp:docPr id="925259686" name="Picture 925259686" descr="{&quot;mathml&quot;:&quot;&lt;math style=\&quot;font-family:stix;font-size:16px;\&quot; xmlns=\&quot;http://www.w3.org/1998/Math/MathML\&quot;&gt;&lt;mover&gt;&lt;mi&gt;R&lt;/mi&gt;&lt;mo&gt;&amp;#x2D9;&lt;/mo&gt;&lt;/mover&gt;&lt;mo&gt;=&lt;/mo&gt;&lt;mfrac&gt;&lt;mi&gt;r&lt;/mi&gt;&lt;mi&gt;R&lt;/mi&gt;&lt;/mfrac&gt;&lt;mover&gt;&lt;mi&gt;r&lt;/mi&gt;&lt;mo&gt;&amp;#x2D9;&lt;/mo&gt;&lt;/mover&gt;&lt;mo&gt;=&lt;/mo&gt;&lt;msqrt&gt;&lt;mfrac&gt;&lt;mi&gt;&amp;#x3BC;&lt;/mi&gt;&lt;mi&gt;a&lt;/mi&gt;&lt;/mfrac&gt;&lt;/msqrt&gt;&lt;mfrac&gt;&lt;mrow&gt;&lt;mi&gt;e&lt;/mi&gt;&lt;mo&gt;&amp;#xA0;&lt;/mo&gt;&lt;mi&gt;sin&lt;/mi&gt;&lt;mo&gt;&amp;#xA0;&lt;/mo&gt;&lt;mi&gt;E&lt;/mi&gt;&lt;/mrow&gt;&lt;mstyle displaystyle=\&quot;true\&quot;&gt;&lt;mfrac bevelled=\&quot;true\&quot;&gt;&lt;mi&gt;R&lt;/mi&gt;&lt;mi&gt;a&lt;/mi&gt;&lt;/mfrac&gt;&lt;/mstyle&gt;&lt;/mfrac&gt;&lt;/math&gt;&quot;,&quot;origin&quot;:&quot;MathType Legacy&quot;,&quot;version&quot;:&quot;v3.26.0&quot;}" title="R with dot on top equals r over R r with dot on top equals square root of mu over a end root fraction numerator e space sin space E over denominator bevelled R over a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over&gt;&lt;mi&gt;R&lt;/mi&gt;&lt;mo&gt;&amp;#x2D9;&lt;/mo&gt;&lt;/mover&gt;&lt;mo&gt;=&lt;/mo&gt;&lt;mfrac&gt;&lt;mi&gt;r&lt;/mi&gt;&lt;mi&gt;R&lt;/mi&gt;&lt;/mfrac&gt;&lt;mover&gt;&lt;mi&gt;r&lt;/mi&gt;&lt;mo&gt;&amp;#x2D9;&lt;/mo&gt;&lt;/mover&gt;&lt;mo&gt;=&lt;/mo&gt;&lt;msqrt&gt;&lt;mfrac&gt;&lt;mi&gt;&amp;#x3BC;&lt;/mi&gt;&lt;mi&gt;a&lt;/mi&gt;&lt;/mfrac&gt;&lt;/msqrt&gt;&lt;mfrac&gt;&lt;mrow&gt;&lt;mi&gt;e&lt;/mi&gt;&lt;mo&gt;&amp;#xA0;&lt;/mo&gt;&lt;mi&gt;sin&lt;/mi&gt;&lt;mo&gt;&amp;#xA0;&lt;/mo&gt;&lt;mi&gt;E&lt;/mi&gt;&lt;/mrow&gt;&lt;mstyle displaystyle=\&quot;true\&quot;&gt;&lt;mfrac bevelled=\&quot;true\&quot;&gt;&lt;mi&gt;R&lt;/mi&gt;&lt;mi&gt;a&lt;/mi&gt;&lt;/mfrac&gt;&lt;/mstyle&gt;&lt;/mfrac&gt;&lt;/math&gt;&quot;,&quot;origin&quot;:&quot;MathType Legacy&quot;,&quot;version&quot;:&quot;v3.26.0&quot;}" title="R with dot on top equals r over R r with dot on top equals square root of mu over a end root fraction numerator e space sin space E over denominator bevelled R over a end fraction"/>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71046" cy="383517"/>
                    </a:xfrm>
                    <a:prstGeom prst="rect">
                      <a:avLst/>
                    </a:prstGeom>
                  </pic:spPr>
                </pic:pic>
              </a:graphicData>
            </a:graphic>
          </wp:inline>
        </w:drawing>
      </w:r>
      <w:r>
        <w:t xml:space="preserve">                                                      </w:t>
      </w:r>
      <w:r>
        <w:rPr>
          <w:sz w:val="20"/>
          <w:szCs w:val="20"/>
        </w:rPr>
        <w:t>(16)</w:t>
      </w:r>
    </w:p>
    <w:p w14:paraId="13F0E0D7" w14:textId="1755F64F" w:rsidR="008A7F3B" w:rsidRPr="008A7F3B" w:rsidRDefault="008A7F3B" w:rsidP="008A7F3B">
      <w:pPr>
        <w:pStyle w:val="font-claude-response-body"/>
        <w:rPr>
          <w:sz w:val="20"/>
          <w:szCs w:val="20"/>
        </w:rPr>
      </w:pPr>
      <w:r>
        <w:rPr>
          <w:sz w:val="20"/>
          <w:szCs w:val="20"/>
        </w:rPr>
        <w:t xml:space="preserve">Changing the integration variable from </w:t>
      </w:r>
      <w:r>
        <w:rPr>
          <w:i/>
          <w:iCs/>
          <w:sz w:val="20"/>
          <w:szCs w:val="20"/>
        </w:rPr>
        <w:t>t</w:t>
      </w:r>
      <w:r>
        <w:rPr>
          <w:sz w:val="20"/>
          <w:szCs w:val="20"/>
        </w:rPr>
        <w:t xml:space="preserve"> to </w:t>
      </w:r>
      <w:proofErr w:type="spellStart"/>
      <w:r>
        <w:rPr>
          <w:i/>
          <w:iCs/>
          <w:sz w:val="20"/>
          <w:szCs w:val="20"/>
        </w:rPr>
        <w:t>E</w:t>
      </w:r>
      <w:proofErr w:type="spellEnd"/>
      <w:r>
        <w:rPr>
          <w:sz w:val="20"/>
          <w:szCs w:val="20"/>
        </w:rPr>
        <w:t xml:space="preserve"> using </w:t>
      </w:r>
      <m:oMath>
        <m:r>
          <w:rPr>
            <w:rFonts w:ascii="Cambria Math" w:hAnsi="Cambria Math"/>
            <w:sz w:val="18"/>
            <w:szCs w:val="18"/>
          </w:rPr>
          <m:t>dt=√</m:t>
        </m:r>
        <m:d>
          <m:dPr>
            <m:ctrlPr>
              <w:rPr>
                <w:rFonts w:ascii="Cambria Math" w:hAnsi="Cambria Math"/>
                <w:sz w:val="18"/>
                <w:szCs w:val="18"/>
              </w:rPr>
            </m:ctrlPr>
          </m:dPr>
          <m:e>
            <m:r>
              <w:rPr>
                <w:rFonts w:ascii="Cambria Math" w:hAnsi="Cambria Math"/>
                <w:sz w:val="18"/>
                <w:szCs w:val="18"/>
              </w:rPr>
              <m:t>a³/μ</m:t>
            </m:r>
          </m:e>
        </m:d>
        <m:d>
          <m:dPr>
            <m:ctrlPr>
              <w:rPr>
                <w:rFonts w:ascii="Cambria Math" w:hAnsi="Cambria Math"/>
                <w:sz w:val="18"/>
                <w:szCs w:val="18"/>
              </w:rPr>
            </m:ctrlPr>
          </m:dPr>
          <m:e>
            <m:r>
              <w:rPr>
                <w:rFonts w:ascii="Cambria Math" w:hAnsi="Cambria Math"/>
                <w:sz w:val="18"/>
                <w:szCs w:val="18"/>
              </w:rPr>
              <m:t>1-ecosE</m:t>
            </m:r>
          </m:e>
        </m:d>
        <m:r>
          <w:rPr>
            <w:rFonts w:ascii="Cambria Math" w:hAnsi="Cambria Math"/>
            <w:sz w:val="18"/>
            <w:szCs w:val="18"/>
          </w:rPr>
          <m:t>dE</m:t>
        </m:r>
      </m:oMath>
      <w:r>
        <w:rPr>
          <w:sz w:val="20"/>
          <w:szCs w:val="20"/>
        </w:rPr>
        <w:t>, Eq. (15) becomes</w:t>
      </w:r>
    </w:p>
    <w:p w14:paraId="1AEE5E9E" w14:textId="4362C7CA" w:rsidR="008A7F3B" w:rsidRPr="00622365" w:rsidRDefault="00B70A3F" w:rsidP="00F07DBC">
      <w:pPr>
        <w:pStyle w:val="font-claude-response-body"/>
        <w:jc w:val="right"/>
        <w:rPr>
          <w:sz w:val="20"/>
          <w:szCs w:val="20"/>
        </w:rPr>
      </w:pPr>
      <w:r>
        <w:rPr>
          <w:noProof/>
          <w:position w:val="-38"/>
        </w:rPr>
        <w:drawing>
          <wp:inline distT="0" distB="0" distL="0" distR="0" wp14:anchorId="3F976F2B" wp14:editId="43608677">
            <wp:extent cx="2846396" cy="373883"/>
            <wp:effectExtent l="0" t="0" r="0" b="7620"/>
            <wp:docPr id="2004781779" name="Picture 2004781779" descr="{&quot;mathml&quot;:&quot;&lt;math style=\&quot;font-family:stix;font-size:16px;\&quot; xmlns=\&quot;http://www.w3.org/1998/Math/MathML\&quot;&gt;&lt;mi&gt;ln&lt;/mi&gt;&lt;mfrac&gt;&lt;mrow&gt;&lt;mi&gt;R&lt;/mi&gt;&lt;mfenced&gt;&lt;mi&gt;E&lt;/mi&gt;&lt;/mfenced&gt;&lt;/mrow&gt;&lt;msub&gt;&lt;mi&gt;R&lt;/mi&gt;&lt;mi&gt;P&lt;/mi&gt;&lt;/msub&gt;&lt;/mfrac&gt;&lt;mo&gt;=&lt;/mo&gt;&lt;msubsup&gt;&lt;mo&gt;&amp;#x222B;&lt;/mo&gt;&lt;mn&gt;0&lt;/mn&gt;&lt;mi&gt;E&lt;/mi&gt;&lt;/msubsup&gt;&lt;mi&gt;e&lt;/mi&gt;&lt;mo&gt;&amp;#xA0;&lt;/mo&gt;&lt;mi&gt;sin&lt;/mi&gt;&lt;mo&gt;&amp;#xA0;&lt;/mo&gt;&lt;mi&gt;E&lt;/mi&gt;&lt;mo&gt;'&lt;/mo&gt;&lt;mfrac&gt;&lt;mfenced&gt;&lt;mrow&gt;&lt;mn&gt;1&lt;/mn&gt;&lt;mo&gt;-&lt;/mo&gt;&lt;mi&gt;e&lt;/mi&gt;&lt;mo&gt;&amp;#xA0;&lt;/mo&gt;&lt;mi&gt;cos&lt;/mi&gt;&lt;mo&gt;&amp;#xA0;&lt;/mo&gt;&lt;mi&gt;E&lt;/mi&gt;&lt;mo&gt;'&lt;/mo&gt;&lt;/mrow&gt;&lt;/mfenced&gt;&lt;mrow&gt;&lt;msup&gt;&lt;mfenced&gt;&lt;mrow&gt;&lt;mn&gt;1&lt;/mn&gt;&lt;mo&gt;-&lt;/mo&gt;&lt;mi&gt;e&lt;/mi&gt;&lt;mo&gt;&amp;#xA0;&lt;/mo&gt;&lt;mi&gt;cos&lt;/mi&gt;&lt;mi&gt;E&lt;/mi&gt;&lt;mo&gt;'&lt;/mo&gt;&lt;/mrow&gt;&lt;/mfenced&gt;&lt;mn&gt;2&lt;/mn&gt;&lt;/msup&gt;&lt;mo&gt;+&lt;/mo&gt;&lt;mfenced&gt;&lt;mrow&gt;&lt;mn&gt;1&lt;/mn&gt;&lt;mo&gt;-&lt;/mo&gt;&lt;msup&gt;&lt;mi&gt;e&lt;/mi&gt;&lt;mn&gt;2&lt;/mn&gt;&lt;/msup&gt;&lt;/mrow&gt;&lt;/mfenced&gt;&lt;/mrow&gt;&lt;/mfrac&gt;&lt;mo&gt;&amp;#xA0;&lt;/mo&gt;&lt;mi&gt;d&lt;/mi&gt;&lt;mi&gt;E&lt;/mi&gt;&lt;mo&gt;'&lt;/mo&gt;&lt;/math&gt;&quot;,&quot;origin&quot;:&quot;MathType Legacy&quot;,&quot;version&quot;:&quot;v3.26.0&quot;}" title="ln fraction numerator R open parentheses E close parentheses over denominator R subscript P end fraction equals integral subscript 0 superscript E e space sin space E apostrophe fraction numerator open parentheses 1 minus e space cos space E apostrophe close parentheses over denominator open parentheses 1 minus e space cos E apostrophe close parentheses squared plus open parentheses 1 minus e squared close parentheses end fraction space d E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ln&lt;/mi&gt;&lt;mfrac&gt;&lt;mrow&gt;&lt;mi&gt;R&lt;/mi&gt;&lt;mfenced&gt;&lt;mi&gt;E&lt;/mi&gt;&lt;/mfenced&gt;&lt;/mrow&gt;&lt;msub&gt;&lt;mi&gt;R&lt;/mi&gt;&lt;mi&gt;P&lt;/mi&gt;&lt;/msub&gt;&lt;/mfrac&gt;&lt;mo&gt;=&lt;/mo&gt;&lt;msubsup&gt;&lt;mo&gt;&amp;#x222B;&lt;/mo&gt;&lt;mn&gt;0&lt;/mn&gt;&lt;mi&gt;E&lt;/mi&gt;&lt;/msubsup&gt;&lt;mi&gt;e&lt;/mi&gt;&lt;mo&gt;&amp;#xA0;&lt;/mo&gt;&lt;mi&gt;sin&lt;/mi&gt;&lt;mo&gt;&amp;#xA0;&lt;/mo&gt;&lt;mi&gt;E&lt;/mi&gt;&lt;mo&gt;'&lt;/mo&gt;&lt;mfrac&gt;&lt;mfenced&gt;&lt;mrow&gt;&lt;mn&gt;1&lt;/mn&gt;&lt;mo&gt;-&lt;/mo&gt;&lt;mi&gt;e&lt;/mi&gt;&lt;mo&gt;&amp;#xA0;&lt;/mo&gt;&lt;mi&gt;cos&lt;/mi&gt;&lt;mo&gt;&amp;#xA0;&lt;/mo&gt;&lt;mi&gt;E&lt;/mi&gt;&lt;mo&gt;'&lt;/mo&gt;&lt;/mrow&gt;&lt;/mfenced&gt;&lt;mrow&gt;&lt;msup&gt;&lt;mfenced&gt;&lt;mrow&gt;&lt;mn&gt;1&lt;/mn&gt;&lt;mo&gt;-&lt;/mo&gt;&lt;mi&gt;e&lt;/mi&gt;&lt;mo&gt;&amp;#xA0;&lt;/mo&gt;&lt;mi&gt;cos&lt;/mi&gt;&lt;mi&gt;E&lt;/mi&gt;&lt;mo&gt;'&lt;/mo&gt;&lt;/mrow&gt;&lt;/mfenced&gt;&lt;mn&gt;2&lt;/mn&gt;&lt;/msup&gt;&lt;mo&gt;+&lt;/mo&gt;&lt;mfenced&gt;&lt;mrow&gt;&lt;mn&gt;1&lt;/mn&gt;&lt;mo&gt;-&lt;/mo&gt;&lt;msup&gt;&lt;mi&gt;e&lt;/mi&gt;&lt;mn&gt;2&lt;/mn&gt;&lt;/msup&gt;&lt;/mrow&gt;&lt;/mfenced&gt;&lt;/mrow&gt;&lt;/mfrac&gt;&lt;mo&gt;&amp;#xA0;&lt;/mo&gt;&lt;mi&gt;d&lt;/mi&gt;&lt;mi&gt;E&lt;/mi&gt;&lt;mo&gt;'&lt;/mo&gt;&lt;/math&gt;&quot;,&quot;origin&quot;:&quot;MathType Legacy&quot;,&quot;version&quot;:&quot;v3.26.0&quot;}" title="ln fraction numerator R open parentheses E close parentheses over denominator R subscript P end fraction equals integral subscript 0 superscript E e space sin space E apostrophe fraction numerator open parentheses 1 minus e space cos space E apostrophe close parentheses over denominator open parentheses 1 minus e space cos E apostrophe close parentheses squared plus open parentheses 1 minus e squared close parentheses end fraction space d E apostroph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62690" cy="389159"/>
                    </a:xfrm>
                    <a:prstGeom prst="rect">
                      <a:avLst/>
                    </a:prstGeom>
                  </pic:spPr>
                </pic:pic>
              </a:graphicData>
            </a:graphic>
          </wp:inline>
        </w:drawing>
      </w:r>
      <w:r>
        <w:t xml:space="preserve">                                </w:t>
      </w:r>
      <w:r>
        <w:rPr>
          <w:sz w:val="20"/>
          <w:szCs w:val="20"/>
        </w:rPr>
        <w:t>(17)</w:t>
      </w:r>
    </w:p>
    <w:p w14:paraId="45B083F4" w14:textId="14ADF04E" w:rsidR="008A7F3B" w:rsidRPr="008A7F3B" w:rsidRDefault="008A7F3B" w:rsidP="008A7F3B">
      <w:pPr>
        <w:pStyle w:val="font-claude-response-body"/>
        <w:rPr>
          <w:sz w:val="20"/>
          <w:szCs w:val="20"/>
        </w:rPr>
      </w:pPr>
      <w:r>
        <w:rPr>
          <w:sz w:val="20"/>
          <w:szCs w:val="20"/>
        </w:rPr>
        <w:t>This integral is evaluated in closed form by the substitution</w:t>
      </w:r>
      <w:r>
        <w:rPr>
          <w:sz w:val="18"/>
          <w:szCs w:val="18"/>
        </w:rPr>
        <w:t xml:space="preserve"> </w:t>
      </w:r>
      <m:oMath>
        <m:r>
          <w:rPr>
            <w:rFonts w:ascii="Cambria Math" w:hAnsi="Cambria Math"/>
            <w:sz w:val="18"/>
            <w:szCs w:val="18"/>
          </w:rPr>
          <m:t>w=1-ecosE'</m:t>
        </m:r>
      </m:oMath>
      <w:r>
        <w:rPr>
          <w:sz w:val="20"/>
          <w:szCs w:val="20"/>
        </w:rPr>
        <w:t xml:space="preserve">, which maps the eccentric anomaly directly onto the </w:t>
      </w:r>
      <w:r>
        <w:rPr>
          <w:i/>
          <w:iCs/>
          <w:sz w:val="20"/>
          <w:szCs w:val="20"/>
        </w:rPr>
        <w:t>R</w:t>
      </w:r>
      <w:r>
        <w:rPr>
          <w:sz w:val="20"/>
          <w:szCs w:val="20"/>
        </w:rPr>
        <w:t xml:space="preserve">-coordinate through the relation </w:t>
      </w:r>
      <m:oMath>
        <m:r>
          <w:rPr>
            <w:rFonts w:ascii="Cambria Math" w:hAnsi="Cambria Math"/>
            <w:sz w:val="18"/>
            <w:szCs w:val="18"/>
          </w:rPr>
          <m:t>R²/a²=w²+</m:t>
        </m:r>
        <m:d>
          <m:dPr>
            <m:ctrlPr>
              <w:rPr>
                <w:rFonts w:ascii="Cambria Math" w:hAnsi="Cambria Math"/>
                <w:sz w:val="18"/>
                <w:szCs w:val="18"/>
              </w:rPr>
            </m:ctrlPr>
          </m:dPr>
          <m:e>
            <m:r>
              <w:rPr>
                <w:rFonts w:ascii="Cambria Math" w:hAnsi="Cambria Math"/>
                <w:sz w:val="18"/>
                <w:szCs w:val="18"/>
              </w:rPr>
              <m:t>1-e²</m:t>
            </m:r>
          </m:e>
        </m:d>
      </m:oMath>
      <w:r>
        <w:rPr>
          <w:sz w:val="20"/>
          <w:szCs w:val="20"/>
        </w:rPr>
        <w:t>[10], yielding</w:t>
      </w:r>
    </w:p>
    <w:p w14:paraId="57064B3E" w14:textId="75A1D5BC" w:rsidR="00F07DBC" w:rsidRDefault="00F07DBC" w:rsidP="00F07DBC">
      <w:pPr>
        <w:pStyle w:val="font-claude-response-body"/>
        <w:jc w:val="right"/>
      </w:pPr>
      <w:r>
        <w:t xml:space="preserve">        </w:t>
      </w:r>
      <w:r>
        <w:rPr>
          <w:noProof/>
          <w:position w:val="-36"/>
        </w:rPr>
        <w:drawing>
          <wp:inline distT="0" distB="0" distL="0" distR="0" wp14:anchorId="5C918448" wp14:editId="343A8080">
            <wp:extent cx="2249203" cy="323850"/>
            <wp:effectExtent l="0" t="0" r="0" b="0"/>
            <wp:docPr id="744765836" name="Picture 744765836" descr="{&quot;mathml&quot;:&quot;&lt;math style=\&quot;font-family:stix;font-size:16px;\&quot; xmlns=\&quot;http://www.w3.org/1998/Math/MathML\&quot;&gt;&lt;mi&gt;ln&lt;/mi&gt;&lt;mfrac&gt;&lt;mrow&gt;&lt;mi&gt;R&lt;/mi&gt;&lt;mo&gt;(&lt;/mo&gt;&lt;mi&gt;E&lt;/mi&gt;&lt;mo&gt;)&lt;/mo&gt;&lt;/mrow&gt;&lt;msub&gt;&lt;mi&gt;R&lt;/mi&gt;&lt;mi&gt;P&lt;/mi&gt;&lt;/msub&gt;&lt;/mfrac&gt;&lt;mo&gt;=&lt;/mo&gt;&lt;mfrac&gt;&lt;mn&gt;1&lt;/mn&gt;&lt;mn&gt;2&lt;/mn&gt;&lt;/mfrac&gt;&lt;mi&gt;ln&lt;/mi&gt;&lt;mo&gt;&amp;#xA0;&lt;/mo&gt;&lt;mfenced open=\&quot;[\&quot; close=\&quot;]\&quot;&gt;&lt;mfrac&gt;&lt;mrow&gt;&lt;mo&gt;(&lt;/mo&gt;&lt;mn&gt;1&lt;/mn&gt;&lt;mo&gt;-&lt;/mo&gt;&lt;mi&gt;e&lt;/mi&gt;&lt;mi&gt;cos&lt;/mi&gt;&lt;mi&gt;E&lt;/mi&gt;&lt;msup&gt;&lt;mo&gt;)&lt;/mo&gt;&lt;mn&gt;2&lt;/mn&gt;&lt;/msup&gt;&lt;mo&gt;+&lt;/mo&gt;&lt;mo&gt;(&lt;/mo&gt;&lt;mn&gt;1&lt;/mn&gt;&lt;mo&gt;-&lt;/mo&gt;&lt;msup&gt;&lt;mi&gt;e&lt;/mi&gt;&lt;mn&gt;2&lt;/mn&gt;&lt;/msup&gt;&lt;mo&gt;)&lt;/mo&gt;&lt;/mrow&gt;&lt;mrow&gt;&lt;mn&gt;2&lt;/mn&gt;&lt;mo&gt;(&lt;/mo&gt;&lt;mn&gt;1&lt;/mn&gt;&lt;mo&gt;-&lt;/mo&gt;&lt;mi&gt;e&lt;/mi&gt;&lt;mo&gt;)&lt;/mo&gt;&lt;/mrow&gt;&lt;/mfrac&gt;&lt;/mfenced&gt;&lt;/math&gt;&quot;,&quot;origin&quot;:&quot;MathType Legacy&quot;,&quot;version&quot;:&quot;v3.26.0&quot;}" title="ln fraction numerator R left parenthesis E right parenthesis over denominator R subscript P end fraction equals 1 half ln space open square brackets fraction numerator left parenthesis 1 minus e cos E right parenthesis squared plus left parenthesis 1 minus e squared right parenthesis over denominator 2 left parenthesis 1 minus e right parenthesis end fraction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ln&lt;/mi&gt;&lt;mfrac&gt;&lt;mrow&gt;&lt;mi&gt;R&lt;/mi&gt;&lt;mo&gt;(&lt;/mo&gt;&lt;mi&gt;E&lt;/mi&gt;&lt;mo&gt;)&lt;/mo&gt;&lt;/mrow&gt;&lt;msub&gt;&lt;mi&gt;R&lt;/mi&gt;&lt;mi&gt;P&lt;/mi&gt;&lt;/msub&gt;&lt;/mfrac&gt;&lt;mo&gt;=&lt;/mo&gt;&lt;mfrac&gt;&lt;mn&gt;1&lt;/mn&gt;&lt;mn&gt;2&lt;/mn&gt;&lt;/mfrac&gt;&lt;mi&gt;ln&lt;/mi&gt;&lt;mo&gt;&amp;#xA0;&lt;/mo&gt;&lt;mfenced open=\&quot;[\&quot; close=\&quot;]\&quot;&gt;&lt;mfrac&gt;&lt;mrow&gt;&lt;mo&gt;(&lt;/mo&gt;&lt;mn&gt;1&lt;/mn&gt;&lt;mo&gt;-&lt;/mo&gt;&lt;mi&gt;e&lt;/mi&gt;&lt;mi&gt;cos&lt;/mi&gt;&lt;mi&gt;E&lt;/mi&gt;&lt;msup&gt;&lt;mo&gt;)&lt;/mo&gt;&lt;mn&gt;2&lt;/mn&gt;&lt;/msup&gt;&lt;mo&gt;+&lt;/mo&gt;&lt;mo&gt;(&lt;/mo&gt;&lt;mn&gt;1&lt;/mn&gt;&lt;mo&gt;-&lt;/mo&gt;&lt;msup&gt;&lt;mi&gt;e&lt;/mi&gt;&lt;mn&gt;2&lt;/mn&gt;&lt;/msup&gt;&lt;mo&gt;)&lt;/mo&gt;&lt;/mrow&gt;&lt;mrow&gt;&lt;mn&gt;2&lt;/mn&gt;&lt;mo&gt;(&lt;/mo&gt;&lt;mn&gt;1&lt;/mn&gt;&lt;mo&gt;-&lt;/mo&gt;&lt;mi&gt;e&lt;/mi&gt;&lt;mo&gt;)&lt;/mo&gt;&lt;/mrow&gt;&lt;/mfrac&gt;&lt;/mfenced&gt;&lt;/math&gt;&quot;,&quot;origin&quot;:&quot;MathType Legacy&quot;,&quot;version&quot;:&quot;v3.26.0&quot;}" title="ln fraction numerator R left parenthesis E right parenthesis over denominator R subscript P end fraction equals 1 half ln space open square brackets fraction numerator left parenthesis 1 minus e cos E right parenthesis squared plus left parenthesis 1 minus e squared right parenthesis over denominator 2 left parenthesis 1 minus e right parenthesis end fraction close square brackets"/>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24992" cy="334762"/>
                    </a:xfrm>
                    <a:prstGeom prst="rect">
                      <a:avLst/>
                    </a:prstGeom>
                  </pic:spPr>
                </pic:pic>
              </a:graphicData>
            </a:graphic>
          </wp:inline>
        </w:drawing>
      </w:r>
      <w:r>
        <w:rPr>
          <w:color w:val="EE0000"/>
        </w:rPr>
        <w:t xml:space="preserve">                                       </w:t>
      </w:r>
      <w:r>
        <w:rPr>
          <w:color w:val="EE0000"/>
          <w:sz w:val="20"/>
          <w:szCs w:val="20"/>
        </w:rPr>
        <w:t xml:space="preserve">  </w:t>
      </w:r>
      <w:r>
        <w:rPr>
          <w:color w:val="EE0000"/>
        </w:rPr>
        <w:t xml:space="preserve">   </w:t>
      </w:r>
      <w:r>
        <w:rPr>
          <w:sz w:val="20"/>
          <w:szCs w:val="20"/>
        </w:rPr>
        <w:t>(18)</w:t>
      </w:r>
    </w:p>
    <w:p w14:paraId="2607B16D" w14:textId="26C5BE33" w:rsidR="00307729" w:rsidRDefault="008A7F3B" w:rsidP="00307729">
      <w:pPr>
        <w:pStyle w:val="font-claude-response-body"/>
        <w:rPr>
          <w:sz w:val="20"/>
          <w:szCs w:val="20"/>
        </w:rPr>
      </w:pPr>
      <w:r>
        <w:rPr>
          <w:sz w:val="20"/>
          <w:szCs w:val="20"/>
        </w:rPr>
        <w:t xml:space="preserve">Since </w:t>
      </w:r>
      <m:oMath>
        <m:r>
          <w:rPr>
            <w:rFonts w:ascii="Cambria Math" w:hAnsi="Cambria Math"/>
            <w:sz w:val="18"/>
            <w:szCs w:val="18"/>
          </w:rPr>
          <m:t>R²</m:t>
        </m:r>
        <m:d>
          <m:dPr>
            <m:ctrlPr>
              <w:rPr>
                <w:rFonts w:ascii="Cambria Math" w:hAnsi="Cambria Math"/>
                <w:sz w:val="18"/>
                <w:szCs w:val="18"/>
              </w:rPr>
            </m:ctrlPr>
          </m:dPr>
          <m:e>
            <m:r>
              <w:rPr>
                <w:rFonts w:ascii="Cambria Math" w:hAnsi="Cambria Math"/>
                <w:sz w:val="18"/>
                <w:szCs w:val="18"/>
              </w:rPr>
              <m:t>E</m:t>
            </m:r>
          </m:e>
        </m:d>
        <m:r>
          <w:rPr>
            <w:rFonts w:ascii="Cambria Math" w:hAnsi="Cambria Math"/>
            <w:sz w:val="18"/>
            <w:szCs w:val="18"/>
          </w:rPr>
          <m:t>=a²</m:t>
        </m:r>
        <m:d>
          <m:dPr>
            <m:begChr m:val="["/>
            <m:endChr m:val="]"/>
            <m:ctrlPr>
              <w:rPr>
                <w:rFonts w:ascii="Cambria Math" w:hAnsi="Cambria Math"/>
                <w:sz w:val="18"/>
                <w:szCs w:val="18"/>
              </w:rPr>
            </m:ctrlPr>
          </m:dPr>
          <m:e>
            <m:d>
              <m:dPr>
                <m:ctrlPr>
                  <w:rPr>
                    <w:rFonts w:ascii="Cambria Math" w:hAnsi="Cambria Math"/>
                    <w:sz w:val="18"/>
                    <w:szCs w:val="18"/>
                  </w:rPr>
                </m:ctrlPr>
              </m:dPr>
              <m:e>
                <m:r>
                  <w:rPr>
                    <w:rFonts w:ascii="Cambria Math" w:hAnsi="Cambria Math"/>
                    <w:sz w:val="18"/>
                    <w:szCs w:val="18"/>
                  </w:rPr>
                  <m:t>1-ecosE</m:t>
                </m:r>
              </m:e>
            </m:d>
            <m:r>
              <w:rPr>
                <w:rFonts w:ascii="Cambria Math" w:hAnsi="Cambria Math"/>
                <w:sz w:val="18"/>
                <w:szCs w:val="18"/>
              </w:rPr>
              <m:t>²+</m:t>
            </m:r>
            <m:d>
              <m:dPr>
                <m:ctrlPr>
                  <w:rPr>
                    <w:rFonts w:ascii="Cambria Math" w:hAnsi="Cambria Math"/>
                    <w:sz w:val="18"/>
                    <w:szCs w:val="18"/>
                  </w:rPr>
                </m:ctrlPr>
              </m:dPr>
              <m:e>
                <m:r>
                  <w:rPr>
                    <w:rFonts w:ascii="Cambria Math" w:hAnsi="Cambria Math"/>
                    <w:sz w:val="18"/>
                    <w:szCs w:val="18"/>
                  </w:rPr>
                  <m:t>1-e²</m:t>
                </m:r>
              </m:e>
            </m:d>
          </m:e>
        </m:d>
      </m:oMath>
      <w:r>
        <w:rPr>
          <w:sz w:val="20"/>
          <w:szCs w:val="20"/>
        </w:rPr>
        <w:t xml:space="preserve"> and </w:t>
      </w:r>
      <m:oMath>
        <m:sSub>
          <m:sSubPr>
            <m:ctrlPr>
              <w:rPr>
                <w:rFonts w:ascii="Cambria Math" w:hAnsi="Cambria Math"/>
                <w:i/>
                <w:sz w:val="18"/>
                <w:szCs w:val="18"/>
              </w:rPr>
            </m:ctrlPr>
          </m:sSubPr>
          <m:e>
            <m:r>
              <w:rPr>
                <w:rFonts w:ascii="Cambria Math" w:hAnsi="Cambria Math"/>
                <w:sz w:val="18"/>
                <w:szCs w:val="18"/>
              </w:rPr>
              <m:t>R²</m:t>
            </m:r>
          </m:e>
          <m:sub>
            <m:r>
              <w:rPr>
                <w:rFonts w:ascii="Cambria Math" w:hAnsi="Cambria Math"/>
                <w:sz w:val="18"/>
                <w:szCs w:val="18"/>
              </w:rPr>
              <m:t>P</m:t>
            </m:r>
          </m:sub>
        </m:sSub>
        <m:r>
          <w:rPr>
            <w:rFonts w:ascii="Cambria Math" w:hAnsi="Cambria Math"/>
            <w:sz w:val="18"/>
            <w:szCs w:val="18"/>
          </w:rPr>
          <m:t>=2a²</m:t>
        </m:r>
        <m:d>
          <m:dPr>
            <m:ctrlPr>
              <w:rPr>
                <w:rFonts w:ascii="Cambria Math" w:hAnsi="Cambria Math"/>
                <w:sz w:val="18"/>
                <w:szCs w:val="18"/>
              </w:rPr>
            </m:ctrlPr>
          </m:dPr>
          <m:e>
            <m:r>
              <w:rPr>
                <w:rFonts w:ascii="Cambria Math" w:hAnsi="Cambria Math"/>
                <w:sz w:val="18"/>
                <w:szCs w:val="18"/>
              </w:rPr>
              <m:t>1-e</m:t>
            </m:r>
          </m:e>
        </m:d>
      </m:oMath>
      <w:r>
        <w:rPr>
          <w:sz w:val="20"/>
          <w:szCs w:val="20"/>
        </w:rPr>
        <w:t xml:space="preserve">, Eq. (18) is identically </w:t>
      </w:r>
      <m:oMath>
        <m:r>
          <w:rPr>
            <w:rFonts w:ascii="Cambria Math" w:hAnsi="Cambria Math"/>
            <w:sz w:val="18"/>
            <w:szCs w:val="18"/>
          </w:rPr>
          <m:t>ln[R</m:t>
        </m:r>
        <m:d>
          <m:dPr>
            <m:ctrlPr>
              <w:rPr>
                <w:rFonts w:ascii="Cambria Math" w:hAnsi="Cambria Math"/>
                <w:sz w:val="18"/>
                <w:szCs w:val="18"/>
              </w:rPr>
            </m:ctrlPr>
          </m:dPr>
          <m:e>
            <m:r>
              <w:rPr>
                <w:rFonts w:ascii="Cambria Math" w:hAnsi="Cambria Math"/>
                <w:sz w:val="18"/>
                <w:szCs w:val="18"/>
              </w:rPr>
              <m:t>E</m:t>
            </m:r>
          </m:e>
        </m:d>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P</m:t>
            </m:r>
          </m:sub>
        </m:sSub>
      </m:oMath>
      <w:r>
        <w:rPr>
          <w:sz w:val="18"/>
          <w:szCs w:val="18"/>
        </w:rPr>
        <w:t>] ,</w:t>
      </w:r>
      <w:r>
        <w:rPr>
          <w:sz w:val="20"/>
          <w:szCs w:val="20"/>
        </w:rPr>
        <w:t xml:space="preserve"> confirming self-consistency. The expression holds pointwise throughout the orbit, reducing to zero at periapsis (</w:t>
      </w:r>
      <w:r>
        <w:rPr>
          <w:i/>
          <w:iCs/>
          <w:sz w:val="20"/>
          <w:szCs w:val="20"/>
        </w:rPr>
        <w:t>E</w:t>
      </w:r>
      <w:r>
        <w:rPr>
          <w:sz w:val="20"/>
          <w:szCs w:val="20"/>
        </w:rPr>
        <w:t xml:space="preserve"> = 0) and to </w:t>
      </w:r>
      <m:oMath>
        <m:r>
          <w:rPr>
            <w:rFonts w:ascii="Cambria Math" w:hAnsi="Cambria Math"/>
            <w:sz w:val="18"/>
            <w:szCs w:val="18"/>
          </w:rPr>
          <m:t>tanh⁻¹</m:t>
        </m:r>
        <m:d>
          <m:dPr>
            <m:ctrlPr>
              <w:rPr>
                <w:rFonts w:ascii="Cambria Math" w:hAnsi="Cambria Math"/>
                <w:sz w:val="18"/>
                <w:szCs w:val="18"/>
              </w:rPr>
            </m:ctrlPr>
          </m:dPr>
          <m:e>
            <m:r>
              <w:rPr>
                <w:rFonts w:ascii="Cambria Math" w:hAnsi="Cambria Math"/>
                <w:sz w:val="18"/>
                <w:szCs w:val="18"/>
              </w:rPr>
              <m:t>e</m:t>
            </m:r>
          </m:e>
        </m:d>
      </m:oMath>
      <w:r>
        <w:rPr>
          <w:sz w:val="20"/>
          <w:szCs w:val="20"/>
        </w:rPr>
        <w:t xml:space="preserve"> at apoapsis </w:t>
      </w:r>
      <w:r>
        <w:rPr>
          <w:sz w:val="18"/>
          <w:szCs w:val="18"/>
        </w:rPr>
        <w:t>(</w:t>
      </w:r>
      <w:r>
        <w:rPr>
          <w:i/>
          <w:iCs/>
          <w:sz w:val="18"/>
          <w:szCs w:val="18"/>
        </w:rPr>
        <w:t>E</w:t>
      </w:r>
      <w:r>
        <w:rPr>
          <w:sz w:val="18"/>
          <w:szCs w:val="18"/>
        </w:rPr>
        <w:t xml:space="preserve"> = </w:t>
      </w:r>
      <w:r>
        <w:rPr>
          <w:i/>
          <w:iCs/>
          <w:sz w:val="18"/>
          <w:szCs w:val="18"/>
        </w:rPr>
        <w:t>π</w:t>
      </w:r>
      <w:r>
        <w:rPr>
          <w:sz w:val="18"/>
          <w:szCs w:val="18"/>
        </w:rPr>
        <w:t>)</w:t>
      </w:r>
      <w:r>
        <w:rPr>
          <w:sz w:val="20"/>
          <w:szCs w:val="20"/>
        </w:rPr>
        <w:t>, consistent with the apse-ratio identity.</w:t>
      </w:r>
    </w:p>
    <w:p w14:paraId="45FEA611" w14:textId="353AA639" w:rsidR="008A7F3B" w:rsidRPr="008A7F3B" w:rsidRDefault="008A7F3B" w:rsidP="00307729">
      <w:pPr>
        <w:tabs>
          <w:tab w:val="left" w:pos="288"/>
        </w:tabs>
        <w:ind w:firstLine="288"/>
      </w:pPr>
      <w:r>
        <w:t xml:space="preserve">The dynamical content of this result parallels Kepler's equation: both encode the full orbital time history parametrically through </w:t>
      </w:r>
      <w:r>
        <w:rPr>
          <w:i/>
          <w:iCs/>
        </w:rPr>
        <w:t>E</w:t>
      </w:r>
      <w:r>
        <w:t>, and both reduce to the same apse values. The conical frame provides a three-dimensional geometric home for the eccentric anomaly, complementing its classical interpretation as the parameter of the auxiliary circle in the orbital plane [9].</w:t>
      </w:r>
    </w:p>
    <w:p w14:paraId="32EF94D1" w14:textId="77777777" w:rsidR="00E63BA1" w:rsidRPr="00307729" w:rsidRDefault="00E63BA1" w:rsidP="00307729">
      <w:pPr>
        <w:pStyle w:val="font-claude-response-body"/>
        <w:rPr>
          <w:rStyle w:val="Strong"/>
        </w:rPr>
      </w:pPr>
      <w:r>
        <w:rPr>
          <w:rStyle w:val="Strong"/>
        </w:rPr>
        <w:t>E. Numerical Solution for Time-Known Positioning</w:t>
      </w:r>
    </w:p>
    <w:p w14:paraId="2C2CD7B7" w14:textId="2CF5B055" w:rsidR="00E63BA1" w:rsidRPr="0034616D" w:rsidRDefault="00E63BA1" w:rsidP="00307729">
      <w:pPr>
        <w:tabs>
          <w:tab w:val="left" w:pos="288"/>
        </w:tabs>
        <w:ind w:firstLine="288"/>
      </w:pPr>
      <w:r>
        <w:t>The inverse problem of orbital mechanics, determining satellite position from a known elapsed time, requires numerical methods because Kepler's equation is transcendental. The conical reference frame provides a natural setting for this computation, and the logarithmic structure of Section VI.D offers both a direct solution path and an independent geometric convergence check unavailable in the classical two-dimensional approach.</w:t>
      </w:r>
    </w:p>
    <w:p w14:paraId="4F5C4D63" w14:textId="722E0312" w:rsidR="00E63BA1" w:rsidRPr="0034616D" w:rsidRDefault="00E63BA1" w:rsidP="00E63BA1">
      <w:pPr>
        <w:spacing w:before="100" w:beforeAutospacing="1" w:after="100" w:afterAutospacing="1"/>
      </w:pPr>
      <w:r>
        <w:t xml:space="preserve">The classical approach solves Kepler's equation </w:t>
      </w:r>
      <w:r>
        <w:rPr>
          <w:sz w:val="18"/>
          <w:szCs w:val="18"/>
        </w:rPr>
        <w:t xml:space="preserve"> </w:t>
      </w:r>
      <m:oMath>
        <m:r>
          <m:rPr>
            <m:sty m:val="bi"/>
          </m:rPr>
          <w:rPr>
            <w:rFonts w:ascii="Cambria Math" w:hAnsi="Cambria Math"/>
            <w:color w:val="666666"/>
            <w:sz w:val="18"/>
            <w:szCs w:val="18"/>
          </w:rPr>
          <m:t>E</m:t>
        </m:r>
        <m:r>
          <w:rPr>
            <w:rFonts w:ascii="Cambria Math" w:hAnsi="Cambria Math"/>
            <w:color w:val="666666"/>
            <w:sz w:val="18"/>
            <w:szCs w:val="18"/>
          </w:rPr>
          <m:t>-</m:t>
        </m:r>
        <m:r>
          <m:rPr>
            <m:sty m:val="bi"/>
          </m:rPr>
          <w:rPr>
            <w:rFonts w:ascii="Cambria Math" w:hAnsi="Cambria Math"/>
            <w:color w:val="666666"/>
            <w:sz w:val="18"/>
            <w:szCs w:val="18"/>
          </w:rPr>
          <m:t>e</m:t>
        </m:r>
        <m:r>
          <w:rPr>
            <w:rFonts w:ascii="Cambria Math" w:hAnsi="Cambria Math"/>
            <w:color w:val="666666"/>
            <w:sz w:val="18"/>
            <w:szCs w:val="18"/>
          </w:rPr>
          <m:t> </m:t>
        </m:r>
        <m:r>
          <m:rPr>
            <m:sty m:val="b"/>
          </m:rPr>
          <w:rPr>
            <w:rFonts w:ascii="Cambria Math" w:hAnsi="Cambria Math"/>
            <w:color w:val="666666"/>
            <w:sz w:val="18"/>
            <w:szCs w:val="18"/>
          </w:rPr>
          <m:t>sin</m:t>
        </m:r>
        <m:r>
          <w:rPr>
            <w:rFonts w:ascii="Cambria Math" w:hAnsi="Cambria Math"/>
            <w:color w:val="666666"/>
            <w:sz w:val="18"/>
            <w:szCs w:val="18"/>
          </w:rPr>
          <m:t> </m:t>
        </m:r>
        <m:r>
          <m:rPr>
            <m:sty m:val="bi"/>
          </m:rPr>
          <w:rPr>
            <w:rFonts w:ascii="Cambria Math" w:hAnsi="Cambria Math"/>
            <w:color w:val="666666"/>
            <w:sz w:val="18"/>
            <w:szCs w:val="18"/>
          </w:rPr>
          <m:t>E</m:t>
        </m:r>
        <m:r>
          <w:rPr>
            <w:rFonts w:ascii="Cambria Math" w:hAnsi="Cambria Math"/>
            <w:color w:val="666666"/>
            <w:sz w:val="18"/>
            <w:szCs w:val="18"/>
          </w:rPr>
          <m:t>=</m:t>
        </m:r>
        <m:rad>
          <m:radPr>
            <m:degHide m:val="1"/>
            <m:ctrlPr>
              <w:rPr>
                <w:rFonts w:ascii="Cambria Math" w:hAnsi="Cambria Math"/>
                <w:color w:val="666666"/>
                <w:sz w:val="18"/>
                <w:szCs w:val="18"/>
              </w:rPr>
            </m:ctrlPr>
          </m:radPr>
          <m:deg/>
          <m:e>
            <m:f>
              <m:fPr>
                <m:type m:val="lin"/>
                <m:ctrlPr>
                  <w:rPr>
                    <w:rFonts w:ascii="Cambria Math" w:hAnsi="Cambria Math"/>
                    <w:i/>
                    <w:color w:val="666666"/>
                    <w:sz w:val="18"/>
                    <w:szCs w:val="18"/>
                  </w:rPr>
                </m:ctrlPr>
              </m:fPr>
              <m:num>
                <m:r>
                  <w:rPr>
                    <w:rFonts w:ascii="Cambria Math" w:hAnsi="Cambria Math"/>
                    <w:color w:val="666666"/>
                    <w:sz w:val="18"/>
                    <w:szCs w:val="18"/>
                  </w:rPr>
                  <m:t>μ</m:t>
                </m:r>
              </m:num>
              <m:den>
                <m:sSup>
                  <m:sSupPr>
                    <m:ctrlPr>
                      <w:rPr>
                        <w:rFonts w:ascii="Cambria Math" w:hAnsi="Cambria Math"/>
                        <w:i/>
                        <w:color w:val="666666"/>
                        <w:sz w:val="18"/>
                        <w:szCs w:val="18"/>
                      </w:rPr>
                    </m:ctrlPr>
                  </m:sSupPr>
                  <m:e>
                    <m:r>
                      <w:rPr>
                        <w:rFonts w:ascii="Cambria Math" w:hAnsi="Cambria Math"/>
                        <w:color w:val="666666"/>
                        <w:sz w:val="18"/>
                        <w:szCs w:val="18"/>
                      </w:rPr>
                      <m:t>a</m:t>
                    </m:r>
                  </m:e>
                  <m:sup>
                    <m:r>
                      <w:rPr>
                        <w:rFonts w:ascii="Cambria Math" w:hAnsi="Cambria Math"/>
                        <w:color w:val="666666"/>
                        <w:sz w:val="18"/>
                        <w:szCs w:val="18"/>
                      </w:rPr>
                      <m:t>3</m:t>
                    </m:r>
                  </m:sup>
                </m:sSup>
              </m:den>
            </m:f>
            <m:r>
              <w:rPr>
                <w:rFonts w:ascii="Cambria Math" w:hAnsi="Cambria Math"/>
                <w:color w:val="666666"/>
                <w:sz w:val="18"/>
                <w:szCs w:val="18"/>
              </w:rPr>
              <m:t> </m:t>
            </m:r>
          </m:e>
        </m:rad>
        <m:r>
          <w:rPr>
            <w:rFonts w:ascii="Cambria Math" w:hAnsi="Cambria Math"/>
            <w:color w:val="666666"/>
            <w:sz w:val="18"/>
            <w:szCs w:val="18"/>
          </w:rPr>
          <m:t> </m:t>
        </m:r>
        <m:r>
          <m:rPr>
            <m:sty m:val="bi"/>
          </m:rPr>
          <w:rPr>
            <w:rFonts w:ascii="Cambria Math" w:hAnsi="Cambria Math"/>
            <w:color w:val="666666"/>
            <w:sz w:val="18"/>
            <w:szCs w:val="18"/>
          </w:rPr>
          <m:t>t</m:t>
        </m:r>
      </m:oMath>
      <w:r>
        <w:rPr>
          <w:b/>
          <w:color w:val="666666"/>
          <w:sz w:val="18"/>
          <w:szCs w:val="18"/>
        </w:rPr>
        <w:t xml:space="preserve"> </w:t>
      </w:r>
      <w:r>
        <w:t xml:space="preserve">iteratively for </w:t>
      </w:r>
      <w:r>
        <w:rPr>
          <w:i/>
          <w:iCs/>
        </w:rPr>
        <w:t>E</w:t>
      </w:r>
      <w:r>
        <w:t xml:space="preserve"> and then converts </w:t>
      </w:r>
      <w:r>
        <w:rPr>
          <w:i/>
          <w:iCs/>
        </w:rPr>
        <w:t>E</w:t>
      </w:r>
      <w:r>
        <w:t xml:space="preserve"> to true anomaly </w:t>
      </w:r>
      <w:r>
        <w:rPr>
          <w:i/>
          <w:iCs/>
        </w:rPr>
        <w:t>θ</w:t>
      </w:r>
      <w:r>
        <w:t xml:space="preserve"> through trigonometric inversion, which introduces additional numerical sensitivity for highly eccentric orbits where the geometry crowds near periapsis. In the conical framework, slant radius </w:t>
      </w:r>
      <w:r>
        <w:rPr>
          <w:i/>
          <w:iCs/>
        </w:rPr>
        <w:t>R</w:t>
      </w:r>
      <w:r>
        <w:t xml:space="preserve"> replaces </w:t>
      </w:r>
      <w:r>
        <w:rPr>
          <w:i/>
          <w:iCs/>
        </w:rPr>
        <w:t>θ</w:t>
      </w:r>
      <w:r>
        <w:t xml:space="preserve"> as the primary position variable and is recovered from a converged </w:t>
      </w:r>
      <w:r>
        <w:rPr>
          <w:i/>
          <w:iCs/>
        </w:rPr>
        <w:t>E</w:t>
      </w:r>
      <w:r>
        <w:t xml:space="preserve"> by direct algebraic evaluation, eliminating the trigonometric inversion.</w:t>
      </w:r>
    </w:p>
    <w:p w14:paraId="2311BADD" w14:textId="77777777" w:rsidR="00E63BA1" w:rsidRPr="0034616D" w:rsidRDefault="00E63BA1" w:rsidP="00307729">
      <w:pPr>
        <w:tabs>
          <w:tab w:val="left" w:pos="288"/>
        </w:tabs>
        <w:ind w:firstLine="288"/>
      </w:pPr>
      <w:r>
        <w:t xml:space="preserve">Given elapsed time </w:t>
      </w:r>
      <w:r>
        <w:rPr>
          <w:i/>
          <w:iCs/>
        </w:rPr>
        <w:t>t</w:t>
      </w:r>
      <w:r>
        <w:t>, the residual function for Kepler's equation is</w:t>
      </w:r>
    </w:p>
    <w:p w14:paraId="7A3A7956" w14:textId="78ED3BA8" w:rsidR="00E63BA1" w:rsidRPr="0034616D" w:rsidRDefault="009D6534" w:rsidP="004A6D2D">
      <w:pPr>
        <w:spacing w:before="100" w:beforeAutospacing="1" w:after="100" w:afterAutospacing="1"/>
        <w:jc w:val="right"/>
      </w:pPr>
      <w:r>
        <w:rPr>
          <w:noProof/>
          <w:position w:val="-43"/>
        </w:rPr>
        <w:drawing>
          <wp:inline distT="0" distB="0" distL="0" distR="0" wp14:anchorId="40168934" wp14:editId="1BB1E481">
            <wp:extent cx="1685925" cy="439058"/>
            <wp:effectExtent l="0" t="0" r="0" b="0"/>
            <wp:docPr id="360276804" name="Picture 360276804" descr="{&quot;mathml&quot;:&quot;&lt;math style=\&quot;font-family:stix;font-size:16px;\&quot; xmlns=\&quot;http://www.w3.org/1998/Math/MathML\&quot;&gt;&lt;mi&gt;f&lt;/mi&gt;&lt;mfenced&gt;&lt;mi&gt;E&lt;/mi&gt;&lt;/mfenced&gt;&lt;mo&gt;=&lt;/mo&gt;&lt;mi&gt;E&lt;/mi&gt;&lt;mo&gt;-&lt;/mo&gt;&lt;mi&gt;e&lt;/mi&gt;&lt;mi&gt;sin&lt;/mi&gt;&lt;mi&gt;E&lt;/mi&gt;&lt;mo&gt;-&lt;/mo&gt;&lt;msqrt&gt;&lt;mfrac&gt;&lt;mi&gt;&amp;#x3BC;&lt;/mi&gt;&lt;msup&gt;&lt;mi&gt;a&lt;/mi&gt;&lt;mn&gt;3&lt;/mn&gt;&lt;/msup&gt;&lt;/mfrac&gt;&lt;/msqrt&gt;&lt;mi&gt;t&lt;/mi&gt;&lt;/math&gt;&quot;,&quot;origin&quot;:&quot;MathType Legacy&quot;,&quot;version&quot;:&quot;v3.26.0&quot;}" title="f open parentheses E close parentheses equals E minus e sin E minus square root of mu over a cubed end roo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f&lt;/mi&gt;&lt;mfenced&gt;&lt;mi&gt;E&lt;/mi&gt;&lt;/mfenced&gt;&lt;mo&gt;=&lt;/mo&gt;&lt;mi&gt;E&lt;/mi&gt;&lt;mo&gt;-&lt;/mo&gt;&lt;mi&gt;e&lt;/mi&gt;&lt;mi&gt;sin&lt;/mi&gt;&lt;mi&gt;E&lt;/mi&gt;&lt;mo&gt;-&lt;/mo&gt;&lt;msqrt&gt;&lt;mfrac&gt;&lt;mi&gt;&amp;#x3BC;&lt;/mi&gt;&lt;msup&gt;&lt;mi&gt;a&lt;/mi&gt;&lt;mn&gt;3&lt;/mn&gt;&lt;/msup&gt;&lt;/mfrac&gt;&lt;/msqrt&gt;&lt;mi&gt;t&lt;/mi&gt;&lt;/math&gt;&quot;,&quot;origin&quot;:&quot;MathType Legacy&quot;,&quot;version&quot;:&quot;v3.26.0&quot;}" title="f open parentheses E close parentheses equals E minus e sin E minus square root of mu over a cubed end root 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05386" cy="444126"/>
                    </a:xfrm>
                    <a:prstGeom prst="rect">
                      <a:avLst/>
                    </a:prstGeom>
                  </pic:spPr>
                </pic:pic>
              </a:graphicData>
            </a:graphic>
          </wp:inline>
        </w:drawing>
      </w:r>
      <w:r>
        <w:t>                                                         (19)</w:t>
      </w:r>
    </w:p>
    <w:p w14:paraId="304DDC44" w14:textId="1367D412" w:rsidR="00E63BA1" w:rsidRPr="0034616D" w:rsidRDefault="00E63BA1" w:rsidP="00E63BA1">
      <w:pPr>
        <w:spacing w:before="100" w:beforeAutospacing="1" w:after="100" w:afterAutospacing="1"/>
      </w:pPr>
      <w:r>
        <w:t xml:space="preserve">with derivative </w:t>
      </w:r>
      <m:oMath>
        <m:r>
          <w:rPr>
            <w:rFonts w:ascii="Cambria Math" w:hAnsi="Cambria Math"/>
            <w:sz w:val="18"/>
            <w:szCs w:val="18"/>
          </w:rPr>
          <m:t>f'</m:t>
        </m:r>
        <m:d>
          <m:dPr>
            <m:ctrlPr>
              <w:rPr>
                <w:rFonts w:ascii="Cambria Math" w:hAnsi="Cambria Math"/>
                <w:sz w:val="18"/>
                <w:szCs w:val="18"/>
              </w:rPr>
            </m:ctrlPr>
          </m:dPr>
          <m:e>
            <m:r>
              <w:rPr>
                <w:rFonts w:ascii="Cambria Math" w:hAnsi="Cambria Math"/>
                <w:sz w:val="18"/>
                <w:szCs w:val="18"/>
              </w:rPr>
              <m:t>E</m:t>
            </m:r>
          </m:e>
        </m:d>
        <m:r>
          <w:rPr>
            <w:rFonts w:ascii="Cambria Math" w:hAnsi="Cambria Math"/>
            <w:sz w:val="18"/>
            <w:szCs w:val="18"/>
          </w:rPr>
          <m:t>=1-ecosE=r/a</m:t>
        </m:r>
      </m:oMath>
      <w:r>
        <w:t xml:space="preserve">. Since </w:t>
      </w:r>
      <m:oMath>
        <m:r>
          <w:rPr>
            <w:rFonts w:ascii="Cambria Math" w:hAnsi="Cambria Math"/>
          </w:rPr>
          <m:t>r/a</m:t>
        </m:r>
      </m:oMath>
      <w:r>
        <w:t xml:space="preserve"> is strictly positive, </w:t>
      </w:r>
      <m:oMath>
        <m:r>
          <w:rPr>
            <w:rFonts w:ascii="Cambria Math" w:hAnsi="Cambria Math"/>
            <w:sz w:val="18"/>
            <w:szCs w:val="18"/>
          </w:rPr>
          <m:t>f</m:t>
        </m:r>
        <m:d>
          <m:dPr>
            <m:ctrlPr>
              <w:rPr>
                <w:rFonts w:ascii="Cambria Math" w:hAnsi="Cambria Math"/>
                <w:sz w:val="18"/>
                <w:szCs w:val="18"/>
              </w:rPr>
            </m:ctrlPr>
          </m:dPr>
          <m:e>
            <m:r>
              <w:rPr>
                <w:rFonts w:ascii="Cambria Math" w:hAnsi="Cambria Math"/>
                <w:sz w:val="18"/>
                <w:szCs w:val="18"/>
              </w:rPr>
              <m:t>E</m:t>
            </m:r>
          </m:e>
        </m:d>
        <m:r>
          <w:rPr>
            <w:rFonts w:ascii="Cambria Math" w:hAnsi="Cambria Math"/>
            <w:sz w:val="18"/>
            <w:szCs w:val="18"/>
          </w:rPr>
          <m:t xml:space="preserve"> </m:t>
        </m:r>
      </m:oMath>
      <w:r>
        <w:t>is monotonically increasing, and Newton-Raphson iteration converges globally. The iteration proceeds as</w:t>
      </w:r>
    </w:p>
    <w:p w14:paraId="3607F8A4" w14:textId="7405B1A2" w:rsidR="00E63BA1" w:rsidRDefault="009D6534" w:rsidP="004A6D2D">
      <w:pPr>
        <w:spacing w:before="100" w:beforeAutospacing="1" w:after="100" w:afterAutospacing="1"/>
        <w:jc w:val="right"/>
      </w:pPr>
      <w:r>
        <w:rPr>
          <w:noProof/>
          <w:position w:val="-41"/>
        </w:rPr>
        <w:drawing>
          <wp:inline distT="0" distB="0" distL="0" distR="0" wp14:anchorId="197C8B37" wp14:editId="7C888060">
            <wp:extent cx="1951908" cy="533400"/>
            <wp:effectExtent l="0" t="0" r="0" b="0"/>
            <wp:docPr id="481896882" name="Picture 481896882" descr="{&quot;mathml&quot;:&quot;&lt;math style=\&quot;font-family:stix;font-size:16px;\&quot; xmlns=\&quot;http://www.w3.org/1998/Math/MathML\&quot;&gt;&lt;msub&gt;&lt;mi&gt;E&lt;/mi&gt;&lt;mrow&gt;&lt;mi&gt;n&lt;/mi&gt;&lt;mo&gt;+&lt;/mo&gt;&lt;mn&gt;1&lt;/mn&gt;&lt;/mrow&gt;&lt;/msub&gt;&lt;mo&gt;=&lt;/mo&gt;&lt;mo&gt;&amp;#xA0;&lt;/mo&gt;&lt;msub&gt;&lt;mi&gt;E&lt;/mi&gt;&lt;mi&gt;n&lt;/mi&gt;&lt;/msub&gt;&lt;mo&gt;-&lt;/mo&gt;&lt;mo&gt;(&lt;/mo&gt;&lt;msub&gt;&lt;mfrac&gt;&lt;mrow&gt;&lt;msub&gt;&lt;mi&gt;E&lt;/mi&gt;&lt;mi&gt;n&lt;/mi&gt;&lt;/msub&gt;&lt;mo&gt;-&lt;/mo&gt;&lt;mi&gt;e&lt;/mi&gt;&lt;mo&gt;&amp;#xA0;&lt;/mo&gt;&lt;mi&gt;sin&lt;/mi&gt;&lt;mo&gt;&amp;#xA0;&lt;/mo&gt;&lt;msub&gt;&lt;mi&gt;E&lt;/mi&gt;&lt;mi&gt;n&lt;/mi&gt;&lt;/msub&gt;&lt;mo&gt;-&lt;/mo&gt;&lt;msqrt&gt;&lt;mstyle displaystyle=\&quot;true\&quot;&gt;&lt;mfrac&gt;&lt;mi&gt;&amp;#x3BC;&lt;/mi&gt;&lt;msup&gt;&lt;mi&gt;a&lt;/mi&gt;&lt;mn&gt;3&lt;/mn&gt;&lt;/msup&gt;&lt;/mfrac&gt;&lt;/mstyle&gt;&lt;/msqrt&gt;&lt;mi&gt;t&lt;/mi&gt;&lt;/mrow&gt;&lt;mrow&gt;&lt;mn&gt;1&lt;/mn&gt;&lt;mo&gt;-&lt;/mo&gt;&lt;mi&gt;e&lt;/mi&gt;&lt;mo&gt;&amp;#xA0;&lt;/mo&gt;&lt;mi&gt;cos&lt;/mi&gt;&lt;mo&gt;&amp;#xA0;&lt;/mo&gt;&lt;msub&gt;&lt;mi&gt;E&lt;/mi&gt;&lt;mi&gt;n&lt;/mi&gt;&lt;/msub&gt;&lt;/mrow&gt;&lt;/mfrac&gt;&lt;mrow/&gt;&lt;/msub&gt;&lt;/math&gt;&quot;,&quot;origin&quot;:&quot;MathType Legacy&quot;,&quot;version&quot;:&quot;v3.26.0&quot;}" title="E subscript n plus 1 end subscript equals space E subscript n minus left parenthesis fraction numerator E subscript n minus e space sin space E subscript n minus square root of mu over a cubed end root t over denominator 1 minus e space cos space E subscript n end fraction subscript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E&lt;/mi&gt;&lt;mrow&gt;&lt;mi&gt;n&lt;/mi&gt;&lt;mo&gt;+&lt;/mo&gt;&lt;mn&gt;1&lt;/mn&gt;&lt;/mrow&gt;&lt;/msub&gt;&lt;mo&gt;=&lt;/mo&gt;&lt;mo&gt;&amp;#xA0;&lt;/mo&gt;&lt;msub&gt;&lt;mi&gt;E&lt;/mi&gt;&lt;mi&gt;n&lt;/mi&gt;&lt;/msub&gt;&lt;mo&gt;-&lt;/mo&gt;&lt;mo&gt;(&lt;/mo&gt;&lt;msub&gt;&lt;mfrac&gt;&lt;mrow&gt;&lt;msub&gt;&lt;mi&gt;E&lt;/mi&gt;&lt;mi&gt;n&lt;/mi&gt;&lt;/msub&gt;&lt;mo&gt;-&lt;/mo&gt;&lt;mi&gt;e&lt;/mi&gt;&lt;mo&gt;&amp;#xA0;&lt;/mo&gt;&lt;mi&gt;sin&lt;/mi&gt;&lt;mo&gt;&amp;#xA0;&lt;/mo&gt;&lt;msub&gt;&lt;mi&gt;E&lt;/mi&gt;&lt;mi&gt;n&lt;/mi&gt;&lt;/msub&gt;&lt;mo&gt;-&lt;/mo&gt;&lt;msqrt&gt;&lt;mstyle displaystyle=\&quot;true\&quot;&gt;&lt;mfrac&gt;&lt;mi&gt;&amp;#x3BC;&lt;/mi&gt;&lt;msup&gt;&lt;mi&gt;a&lt;/mi&gt;&lt;mn&gt;3&lt;/mn&gt;&lt;/msup&gt;&lt;/mfrac&gt;&lt;/mstyle&gt;&lt;/msqrt&gt;&lt;mi&gt;t&lt;/mi&gt;&lt;/mrow&gt;&lt;mrow&gt;&lt;mn&gt;1&lt;/mn&gt;&lt;mo&gt;-&lt;/mo&gt;&lt;mi&gt;e&lt;/mi&gt;&lt;mo&gt;&amp;#xA0;&lt;/mo&gt;&lt;mi&gt;cos&lt;/mi&gt;&lt;mo&gt;&amp;#xA0;&lt;/mo&gt;&lt;msub&gt;&lt;mi&gt;E&lt;/mi&gt;&lt;mi&gt;n&lt;/mi&gt;&lt;/msub&gt;&lt;/mrow&gt;&lt;/mfrac&gt;&lt;mrow/&gt;&lt;/msub&gt;&lt;/math&gt;&quot;,&quot;origin&quot;:&quot;MathType Legacy&quot;,&quot;version&quot;:&quot;v3.26.0&quot;}" title="E subscript n plus 1 end subscript equals space E subscript n minus left parenthesis fraction numerator E subscript n minus e space sin space E subscript n minus square root of mu over a cubed end root t over denominator 1 minus e space cos space E subscript n end fraction subscript blank"/>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77785" cy="540472"/>
                    </a:xfrm>
                    <a:prstGeom prst="rect">
                      <a:avLst/>
                    </a:prstGeom>
                  </pic:spPr>
                </pic:pic>
              </a:graphicData>
            </a:graphic>
          </wp:inline>
        </w:drawing>
      </w:r>
      <w:r>
        <w:t xml:space="preserve">                                                      (20)</w:t>
      </w:r>
    </w:p>
    <w:p w14:paraId="6ADA808B" w14:textId="096CDBF4" w:rsidR="00E63BA1" w:rsidRPr="0034616D" w:rsidRDefault="00E63BA1" w:rsidP="00E63BA1">
      <w:pPr>
        <w:spacing w:before="100" w:beforeAutospacing="1" w:after="100" w:afterAutospacing="1"/>
      </w:pPr>
      <w:r>
        <w:t xml:space="preserve">initialized with </w:t>
      </w:r>
      <m:oMath>
        <m:r>
          <w:rPr>
            <w:rFonts w:ascii="Cambria Math" w:hAnsi="Cambria Math"/>
            <w:sz w:val="18"/>
            <w:szCs w:val="18"/>
          </w:rPr>
          <m:t>E₀=</m:t>
        </m:r>
        <m:rad>
          <m:radPr>
            <m:degHide m:val="1"/>
            <m:ctrlPr>
              <w:rPr>
                <w:rFonts w:ascii="Cambria Math" w:hAnsi="Cambria Math"/>
                <w:sz w:val="18"/>
                <w:szCs w:val="18"/>
              </w:rPr>
            </m:ctrlPr>
          </m:radPr>
          <m:deg/>
          <m:e>
            <m:d>
              <m:dPr>
                <m:ctrlPr>
                  <w:rPr>
                    <w:rFonts w:ascii="Cambria Math" w:hAnsi="Cambria Math"/>
                    <w:sz w:val="18"/>
                    <w:szCs w:val="18"/>
                  </w:rPr>
                </m:ctrlPr>
              </m:dPr>
              <m:e>
                <m:r>
                  <w:rPr>
                    <w:rFonts w:ascii="Cambria Math" w:hAnsi="Cambria Math"/>
                    <w:sz w:val="18"/>
                    <w:szCs w:val="18"/>
                  </w:rPr>
                  <m:t>μ/a³</m:t>
                </m:r>
              </m:e>
            </m:d>
          </m:e>
        </m:rad>
        <m:r>
          <w:rPr>
            <w:rFonts w:ascii="Cambria Math" w:hAnsi="Cambria Math"/>
            <w:sz w:val="18"/>
            <w:szCs w:val="18"/>
          </w:rPr>
          <m:t xml:space="preserve"> t</m:t>
        </m:r>
      </m:oMath>
      <w:r>
        <w:t>. At each step, the logarithmic position variable</w:t>
      </w:r>
    </w:p>
    <w:p w14:paraId="5B8253F3" w14:textId="76B9D6EA" w:rsidR="00E63BA1" w:rsidRDefault="00B21D64" w:rsidP="004A6D2D">
      <w:pPr>
        <w:spacing w:before="100" w:beforeAutospacing="1" w:after="100" w:afterAutospacing="1"/>
        <w:jc w:val="right"/>
      </w:pPr>
      <w:r>
        <w:rPr>
          <w:noProof/>
          <w:position w:val="-33"/>
        </w:rPr>
        <w:drawing>
          <wp:inline distT="0" distB="0" distL="0" distR="0" wp14:anchorId="5276BC8D" wp14:editId="569F093D">
            <wp:extent cx="2390775" cy="394749"/>
            <wp:effectExtent l="0" t="0" r="0" b="5715"/>
            <wp:docPr id="1431868816" name="Picture 1431868816" descr="{&quot;mathml&quot;:&quot;&lt;math style=\&quot;font-family:stix;font-size:16px;\&quot; xmlns=\&quot;http://www.w3.org/1998/Math/MathML\&quot;&gt;&lt;msub&gt;&lt;mi&gt;&amp;#x3BB;&lt;/mi&gt;&lt;mrow&gt;&lt;mi&gt;n&lt;/mi&gt;&lt;mo&gt;+&lt;/mo&gt;&lt;mn&gt;1&lt;/mn&gt;&lt;/mrow&gt;&lt;/msub&gt;&lt;mo&gt;=&lt;/mo&gt;&lt;mfrac&gt;&lt;mn&gt;1&lt;/mn&gt;&lt;mn&gt;2&lt;/mn&gt;&lt;/mfrac&gt;&lt;mi&gt;ln&lt;/mi&gt;&lt;mo&gt;&amp;#xA0;&lt;/mo&gt;&lt;mfenced open=\&quot;[\&quot; close=\&quot;]\&quot;&gt;&lt;mfrac&gt;&lt;mrow&gt;&lt;msup&gt;&lt;mfenced&gt;&lt;mrow&gt;&lt;mn&gt;1&lt;/mn&gt;&lt;mo&gt;-&lt;/mo&gt;&lt;mi&gt;e&lt;/mi&gt;&lt;mo&gt;&amp;#xA0;&lt;/mo&gt;&lt;mi&gt;cos&lt;/mi&gt;&lt;mo&gt;&amp;#xA0;&lt;/mo&gt;&lt;msub&gt;&lt;mi&gt;E&lt;/mi&gt;&lt;mrow&gt;&lt;mi&gt;n&lt;/mi&gt;&lt;mo&gt;+&lt;/mo&gt;&lt;mn&gt;1&lt;/mn&gt;&lt;/mrow&gt;&lt;/msub&gt;&lt;/mrow&gt;&lt;/mfenced&gt;&lt;mn&gt;2&lt;/mn&gt;&lt;/msup&gt;&lt;mo&gt;+&lt;/mo&gt;&lt;mfenced&gt;&lt;mrow&gt;&lt;mn&gt;1&lt;/mn&gt;&lt;mo&gt;-&lt;/mo&gt;&lt;msup&gt;&lt;mi&gt;e&lt;/mi&gt;&lt;mn&gt;2&lt;/mn&gt;&lt;/msup&gt;&lt;/mrow&gt;&lt;/mfenced&gt;&lt;/mrow&gt;&lt;mrow&gt;&lt;mn&gt;2&lt;/mn&gt;&lt;mfenced&gt;&lt;mrow&gt;&lt;mn&gt;1&lt;/mn&gt;&lt;mo&gt;-&lt;/mo&gt;&lt;mi&gt;e&lt;/mi&gt;&lt;/mrow&gt;&lt;/mfenced&gt;&lt;/mrow&gt;&lt;/mfrac&gt;&lt;/mfenced&gt;&lt;/math&gt;&quot;,&quot;origin&quot;:&quot;MathType Legacy&quot;,&quot;version&quot;:&quot;v3.26.0&quot;}" title="lambda subscript n plus 1 end subscript equals 1 half ln space open square brackets fraction numerator open parentheses 1 minus e space cos space E subscript n plus 1 end subscript close parentheses squared plus open parentheses 1 minus e squared close parentheses over denominator 2 open parentheses 1 minus e close parentheses end fraction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amp;#x3BB;&lt;/mi&gt;&lt;mrow&gt;&lt;mi&gt;n&lt;/mi&gt;&lt;mo&gt;+&lt;/mo&gt;&lt;mn&gt;1&lt;/mn&gt;&lt;/mrow&gt;&lt;/msub&gt;&lt;mo&gt;=&lt;/mo&gt;&lt;mfrac&gt;&lt;mn&gt;1&lt;/mn&gt;&lt;mn&gt;2&lt;/mn&gt;&lt;/mfrac&gt;&lt;mi&gt;ln&lt;/mi&gt;&lt;mo&gt;&amp;#xA0;&lt;/mo&gt;&lt;mfenced open=\&quot;[\&quot; close=\&quot;]\&quot;&gt;&lt;mfrac&gt;&lt;mrow&gt;&lt;msup&gt;&lt;mfenced&gt;&lt;mrow&gt;&lt;mn&gt;1&lt;/mn&gt;&lt;mo&gt;-&lt;/mo&gt;&lt;mi&gt;e&lt;/mi&gt;&lt;mo&gt;&amp;#xA0;&lt;/mo&gt;&lt;mi&gt;cos&lt;/mi&gt;&lt;mo&gt;&amp;#xA0;&lt;/mo&gt;&lt;msub&gt;&lt;mi&gt;E&lt;/mi&gt;&lt;mrow&gt;&lt;mi&gt;n&lt;/mi&gt;&lt;mo&gt;+&lt;/mo&gt;&lt;mn&gt;1&lt;/mn&gt;&lt;/mrow&gt;&lt;/msub&gt;&lt;/mrow&gt;&lt;/mfenced&gt;&lt;mn&gt;2&lt;/mn&gt;&lt;/msup&gt;&lt;mo&gt;+&lt;/mo&gt;&lt;mfenced&gt;&lt;mrow&gt;&lt;mn&gt;1&lt;/mn&gt;&lt;mo&gt;-&lt;/mo&gt;&lt;msup&gt;&lt;mi&gt;e&lt;/mi&gt;&lt;mn&gt;2&lt;/mn&gt;&lt;/msup&gt;&lt;/mrow&gt;&lt;/mfenced&gt;&lt;/mrow&gt;&lt;mrow&gt;&lt;mn&gt;2&lt;/mn&gt;&lt;mfenced&gt;&lt;mrow&gt;&lt;mn&gt;1&lt;/mn&gt;&lt;mo&gt;-&lt;/mo&gt;&lt;mi&gt;e&lt;/mi&gt;&lt;/mrow&gt;&lt;/mfenced&gt;&lt;/mrow&gt;&lt;/mfrac&gt;&lt;/mfenced&gt;&lt;/math&gt;&quot;,&quot;origin&quot;:&quot;MathType Legacy&quot;,&quot;version&quot;:&quot;v3.26.0&quot;}" title="lambda subscript n plus 1 end subscript equals 1 half ln space open square brackets fraction numerator open parentheses 1 minus e space cos space E subscript n plus 1 end subscript close parentheses squared plus open parentheses 1 minus e squared close parentheses over denominator 2 open parentheses 1 minus e close parentheses end fraction close square brackets"/>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444758" cy="403662"/>
                    </a:xfrm>
                    <a:prstGeom prst="rect">
                      <a:avLst/>
                    </a:prstGeom>
                  </pic:spPr>
                </pic:pic>
              </a:graphicData>
            </a:graphic>
          </wp:inline>
        </w:drawing>
      </w:r>
      <w:r>
        <w:t xml:space="preserve">                                                     (21)</w:t>
      </w:r>
    </w:p>
    <w:p w14:paraId="31DB6A12" w14:textId="16387819" w:rsidR="00E63BA1" w:rsidRDefault="007070AF" w:rsidP="00E63BA1">
      <w:pPr>
        <w:spacing w:before="100" w:beforeAutospacing="1" w:after="100" w:afterAutospacing="1"/>
      </w:pPr>
      <w:r>
        <w:t xml:space="preserve">is updated with </w:t>
      </w:r>
      <w:r>
        <w:rPr>
          <w:i/>
          <w:iCs/>
        </w:rPr>
        <w:t>E</w:t>
      </w:r>
      <w:r>
        <w:t>, and the slant radius is recovered as</w:t>
      </w:r>
    </w:p>
    <w:p w14:paraId="4980F161" w14:textId="68711D82" w:rsidR="00E63BA1" w:rsidRPr="0034616D" w:rsidRDefault="00E63BA1" w:rsidP="007070AF">
      <w:pPr>
        <w:spacing w:before="100" w:beforeAutospacing="1" w:after="100" w:afterAutospacing="1"/>
        <w:jc w:val="right"/>
      </w:pPr>
      <w:r>
        <w:t> </w:t>
      </w:r>
      <w:r>
        <w:rPr>
          <w:noProof/>
          <w:position w:val="-14"/>
        </w:rPr>
        <w:drawing>
          <wp:inline distT="0" distB="0" distL="0" distR="0" wp14:anchorId="6ED7B773" wp14:editId="7B7F1D96">
            <wp:extent cx="895350" cy="201231"/>
            <wp:effectExtent l="0" t="0" r="0" b="8890"/>
            <wp:docPr id="338498981" name="Picture 338498981" descr="{&quot;mathml&quot;:&quot;&lt;math style=\&quot;font-family:stix;font-size:16px;\&quot; xmlns=\&quot;http://www.w3.org/1998/Math/MathML\&quot;&gt;&lt;msub&gt;&lt;mi&gt;R&lt;/mi&gt;&lt;mrow&gt;&lt;mi&gt;n&lt;/mi&gt;&lt;mo&gt;+&lt;/mo&gt;&lt;mn&gt;1&lt;/mn&gt;&lt;/mrow&gt;&lt;/msub&gt;&lt;mo&gt;=&lt;/mo&gt;&lt;msub&gt;&lt;mi&gt;R&lt;/mi&gt;&lt;mi&gt;P&lt;/mi&gt;&lt;/msub&gt;&lt;mo&gt;&amp;#xA0;&lt;/mo&gt;&lt;msup&gt;&lt;mi&gt;e&lt;/mi&gt;&lt;msub&gt;&lt;mi&gt;&amp;#x3BB;&lt;/mi&gt;&lt;mrow&gt;&lt;mi&gt;n&lt;/mi&gt;&lt;mo&gt;+&lt;/mo&gt;&lt;mn&gt;1&lt;/mn&gt;&lt;/mrow&gt;&lt;/msub&gt;&lt;/msup&gt;&lt;/math&gt;&quot;,&quot;origin&quot;:&quot;MathType Legacy&quot;,&quot;version&quot;:&quot;v3.26.0&quot;}" title="R subscript n plus 1 end subscript equals R subscript P space e to the power of lambda subscript n plus 1 end subscript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R&lt;/mi&gt;&lt;mrow&gt;&lt;mi&gt;n&lt;/mi&gt;&lt;mo&gt;+&lt;/mo&gt;&lt;mn&gt;1&lt;/mn&gt;&lt;/mrow&gt;&lt;/msub&gt;&lt;mo&gt;=&lt;/mo&gt;&lt;msub&gt;&lt;mi&gt;R&lt;/mi&gt;&lt;mi&gt;P&lt;/mi&gt;&lt;/msub&gt;&lt;mo&gt;&amp;#xA0;&lt;/mo&gt;&lt;msup&gt;&lt;mi&gt;e&lt;/mi&gt;&lt;msub&gt;&lt;mi&gt;&amp;#x3BB;&lt;/mi&gt;&lt;mrow&gt;&lt;mi&gt;n&lt;/mi&gt;&lt;mo&gt;+&lt;/mo&gt;&lt;mn&gt;1&lt;/mn&gt;&lt;/mrow&gt;&lt;/msub&gt;&lt;/msup&gt;&lt;/math&gt;&quot;,&quot;origin&quot;:&quot;MathType Legacy&quot;,&quot;version&quot;:&quot;v3.26.0&quot;}" title="R subscript n plus 1 end subscript equals R subscript P space e to the power of lambda subscript n plus 1 end subscript end exponen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903426" cy="203046"/>
                    </a:xfrm>
                    <a:prstGeom prst="rect">
                      <a:avLst/>
                    </a:prstGeom>
                  </pic:spPr>
                </pic:pic>
              </a:graphicData>
            </a:graphic>
          </wp:inline>
        </w:drawing>
      </w:r>
      <w:r>
        <w:t>                                                                        (22)</w:t>
      </w:r>
    </w:p>
    <w:p w14:paraId="72B902F5" w14:textId="70E8371F" w:rsidR="00E63BA1" w:rsidRPr="0034616D" w:rsidRDefault="00E63BA1" w:rsidP="00E63BA1">
      <w:pPr>
        <w:spacing w:before="100" w:beforeAutospacing="1" w:after="100" w:afterAutospacing="1"/>
      </w:pPr>
      <w:r>
        <w:t xml:space="preserve">where </w:t>
      </w:r>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P</m:t>
            </m:r>
          </m:sub>
        </m:sSub>
        <m:r>
          <w:rPr>
            <w:rFonts w:ascii="Cambria Math" w:hAnsi="Cambria Math"/>
            <w:sz w:val="18"/>
            <w:szCs w:val="18"/>
          </w:rPr>
          <m:t xml:space="preserve">=a </m:t>
        </m:r>
        <m:rad>
          <m:radPr>
            <m:degHide m:val="1"/>
            <m:ctrlPr>
              <w:rPr>
                <w:rFonts w:ascii="Cambria Math" w:hAnsi="Cambria Math"/>
                <w:i/>
                <w:sz w:val="18"/>
                <w:szCs w:val="18"/>
              </w:rPr>
            </m:ctrlPr>
          </m:radPr>
          <m:deg/>
          <m:e>
            <m:r>
              <w:rPr>
                <w:rFonts w:ascii="Cambria Math" w:hAnsi="Cambria Math"/>
                <w:sz w:val="18"/>
                <w:szCs w:val="18"/>
              </w:rPr>
              <m:t>2</m:t>
            </m:r>
            <m:d>
              <m:dPr>
                <m:ctrlPr>
                  <w:rPr>
                    <w:rFonts w:ascii="Cambria Math" w:hAnsi="Cambria Math"/>
                    <w:sz w:val="18"/>
                    <w:szCs w:val="18"/>
                  </w:rPr>
                </m:ctrlPr>
              </m:dPr>
              <m:e>
                <m:r>
                  <w:rPr>
                    <w:rFonts w:ascii="Cambria Math" w:hAnsi="Cambria Math"/>
                    <w:sz w:val="18"/>
                    <w:szCs w:val="18"/>
                  </w:rPr>
                  <m:t>1-e</m:t>
                </m:r>
              </m:e>
            </m:d>
          </m:e>
        </m:rad>
      </m:oMath>
      <w:r>
        <w:t>. Convergence requires dual tolerance conditions on both the Kepler residual and the logarithmic position increment:</w:t>
      </w:r>
    </w:p>
    <w:p w14:paraId="3EB36059" w14:textId="3D030A57" w:rsidR="00E63BA1" w:rsidRPr="0034616D" w:rsidRDefault="00B21D64" w:rsidP="007070AF">
      <w:pPr>
        <w:spacing w:before="100" w:beforeAutospacing="1" w:after="100" w:afterAutospacing="1"/>
        <w:jc w:val="right"/>
      </w:pPr>
      <w:r>
        <w:rPr>
          <w:noProof/>
          <w:position w:val="-10"/>
        </w:rPr>
        <w:drawing>
          <wp:inline distT="0" distB="0" distL="0" distR="0" wp14:anchorId="5692AD54" wp14:editId="1C132C26">
            <wp:extent cx="1266825" cy="180975"/>
            <wp:effectExtent l="0" t="0" r="0" b="9525"/>
            <wp:docPr id="345755504" name="Picture 345755504" descr="{&quot;mathml&quot;:&quot;&lt;math style=\&quot;font-family:stix;font-size:16px;\&quot; xmlns=\&quot;http://www.w3.org/1998/Math/MathML\&quot;&gt;&lt;mfenced open=\&quot;|\&quot; close=\&quot;|\&quot;&gt;&lt;mrow&gt;&lt;mi&gt;f&lt;/mi&gt;&lt;mo&gt;(&lt;/mo&gt;&lt;mi&gt;E&lt;/mi&gt;&lt;mo&gt;&amp;#x2099;&lt;/mo&gt;&lt;mo&gt;&amp;#x208A;&lt;/mo&gt;&lt;mo&gt;&amp;#x2081;&lt;/mo&gt;&lt;mo&gt;)&lt;/mo&gt;&lt;/mrow&gt;&lt;/mfenced&gt;&lt;mo&gt;&amp;#xA0;&lt;/mo&gt;&lt;mo&gt;&amp;lt;&lt;/mo&gt;&lt;mo&gt;&amp;#xA0;&lt;/mo&gt;&lt;mi&gt;&amp;#x3C4;&lt;/mi&gt;&lt;mo&gt;,&lt;/mo&gt;&lt;mo&gt;&amp;#xA0;&lt;/mo&gt;&lt;mi&gt;E&lt;/mi&gt;&lt;mo&gt;&amp;#xA0;&lt;/mo&gt;&lt;mo&gt;&amp;#xA0;&lt;/mo&gt;&lt;mo&gt;&amp;#xA0;&lt;/mo&gt;&lt;mo&gt;&amp;#xA0;&lt;/mo&gt;&lt;/math&gt;&quot;,&quot;origin&quot;:&quot;MathType Legacy&quot;,&quot;version&quot;:&quot;v3.26.0&quot;}" title="open vertical bar f left parenthesis E ₙ ₊ ₁ right parenthesis close vertical bar space less than space tau comma space E space space space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fenced open=\&quot;|\&quot; close=\&quot;|\&quot;&gt;&lt;mrow&gt;&lt;mi&gt;f&lt;/mi&gt;&lt;mo&gt;(&lt;/mo&gt;&lt;mi&gt;E&lt;/mi&gt;&lt;mo&gt;&amp;#x2099;&lt;/mo&gt;&lt;mo&gt;&amp;#x208A;&lt;/mo&gt;&lt;mo&gt;&amp;#x2081;&lt;/mo&gt;&lt;mo&gt;)&lt;/mo&gt;&lt;/mrow&gt;&lt;/mfenced&gt;&lt;mo&gt;&amp;#xA0;&lt;/mo&gt;&lt;mo&gt;&amp;lt;&lt;/mo&gt;&lt;mo&gt;&amp;#xA0;&lt;/mo&gt;&lt;mi&gt;&amp;#x3C4;&lt;/mi&gt;&lt;mo&gt;,&lt;/mo&gt;&lt;mo&gt;&amp;#xA0;&lt;/mo&gt;&lt;mi&gt;E&lt;/mi&gt;&lt;mo&gt;&amp;#xA0;&lt;/mo&gt;&lt;mo&gt;&amp;#xA0;&lt;/mo&gt;&lt;mo&gt;&amp;#xA0;&lt;/mo&gt;&lt;mo&gt;&amp;#xA0;&lt;/mo&gt;&lt;/math&gt;&quot;,&quot;origin&quot;:&quot;MathType Legacy&quot;,&quot;version&quot;:&quot;v3.26.0&quot;}" title="open vertical bar f left parenthesis E ₙ ₊ ₁ right parenthesis close vertical bar space less than space tau comma space E space space space spac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272000" cy="181714"/>
                    </a:xfrm>
                    <a:prstGeom prst="rect">
                      <a:avLst/>
                    </a:prstGeom>
                  </pic:spPr>
                </pic:pic>
              </a:graphicData>
            </a:graphic>
          </wp:inline>
        </w:drawing>
      </w:r>
      <w:r>
        <w:t>and   </w:t>
      </w:r>
      <w:r>
        <w:rPr>
          <w:noProof/>
          <w:position w:val="-10"/>
        </w:rPr>
        <w:drawing>
          <wp:inline distT="0" distB="0" distL="0" distR="0" wp14:anchorId="532755BE" wp14:editId="3641F9A6">
            <wp:extent cx="1057275" cy="182383"/>
            <wp:effectExtent l="0" t="0" r="0" b="8255"/>
            <wp:docPr id="83659795" name="Picture 83659795" descr="{&quot;mathml&quot;:&quot;&lt;math style=\&quot;font-family:stix;font-size:16px;\&quot; xmlns=\&quot;http://www.w3.org/1998/Math/MathML\&quot;&gt;&lt;mfenced open=\&quot;|\&quot; close=\&quot;|\&quot;&gt;&lt;mrow&gt;&lt;mi&gt;&amp;#x3BB;&lt;/mi&gt;&lt;mo&gt;&amp;#x2099;&lt;/mo&gt;&lt;mo&gt;&amp;#x208A;&lt;/mo&gt;&lt;mo&gt;&amp;#x2081;&lt;/mo&gt;&lt;mo&gt;&amp;#x2212;&lt;/mo&gt;&lt;mi&gt;&amp;#x3BB;&lt;/mi&gt;&lt;mo&gt;&amp;#x2099;&lt;/mo&gt;&lt;/mrow&gt;&lt;/mfenced&gt;&lt;mo&gt;&amp;lt;&lt;/mo&gt;&lt;mi&gt;&amp;#x3C4;&lt;/mi&gt;&lt;mo&gt;,&lt;/mo&gt;&lt;mo&gt;&amp;#xA0;&lt;/mo&gt;&lt;mi&gt;&amp;#x3BB;&lt;/mi&gt;&lt;/math&gt;&quot;,&quot;origin&quot;:&quot;MathType Legacy&quot;,&quot;version&quot;:&quot;v3.26.0&quot;}" title="open vertical bar lambda ₙ ₊ ₁ minus lambda ₙ close vertical bar less than tau comma space lam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fenced open=\&quot;|\&quot; close=\&quot;|\&quot;&gt;&lt;mrow&gt;&lt;mi&gt;&amp;#x3BB;&lt;/mi&gt;&lt;mo&gt;&amp;#x2099;&lt;/mo&gt;&lt;mo&gt;&amp;#x208A;&lt;/mo&gt;&lt;mo&gt;&amp;#x2081;&lt;/mo&gt;&lt;mo&gt;&amp;#x2212;&lt;/mo&gt;&lt;mi&gt;&amp;#x3BB;&lt;/mi&gt;&lt;mo&gt;&amp;#x2099;&lt;/mo&gt;&lt;/mrow&gt;&lt;/mfenced&gt;&lt;mo&gt;&amp;lt;&lt;/mo&gt;&lt;mi&gt;&amp;#x3C4;&lt;/mi&gt;&lt;mo&gt;,&lt;/mo&gt;&lt;mo&gt;&amp;#xA0;&lt;/mo&gt;&lt;mi&gt;&amp;#x3BB;&lt;/mi&gt;&lt;/math&gt;&quot;,&quot;origin&quot;:&quot;MathType Legacy&quot;,&quot;version&quot;:&quot;v3.26.0&quot;}" title="open vertical bar lambda ₙ ₊ ₁ minus lambda ₙ close vertical bar less than tau comma space lambda"/>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057275" cy="182383"/>
                    </a:xfrm>
                    <a:prstGeom prst="rect">
                      <a:avLst/>
                    </a:prstGeom>
                  </pic:spPr>
                </pic:pic>
              </a:graphicData>
            </a:graphic>
          </wp:inline>
        </w:drawing>
      </w:r>
      <w:r>
        <w:t xml:space="preserve">                                           (23)</w:t>
      </w:r>
    </w:p>
    <w:p w14:paraId="1EFA3ED5" w14:textId="01099331" w:rsidR="00E63BA1" w:rsidRPr="0034616D" w:rsidRDefault="00E63BA1" w:rsidP="00307729">
      <w:pPr>
        <w:tabs>
          <w:tab w:val="left" w:pos="288"/>
        </w:tabs>
        <w:ind w:firstLine="288"/>
      </w:pPr>
      <w:r>
        <w:t xml:space="preserve">The dual check is the key structural difference from the classical approach. Satisfaction of the Kepler tolerance confirms that the time equation is converged; satisfaction of the geometric tolerance confirms that the solution is physically consistent with the cone geometry. These are independent conditions and combining both provides a built-in verification that the classical two-dimensional approach cannot offer. The logarithmic variable </w:t>
      </w:r>
      <w:r>
        <w:rPr>
          <w:i/>
          <w:iCs/>
        </w:rPr>
        <w:t>λ</w:t>
      </w:r>
      <w:r>
        <w:t xml:space="preserve">, ranging from zero at periapsis to </w:t>
      </w:r>
      <m:oMath>
        <m:r>
          <w:rPr>
            <w:rFonts w:ascii="Cambria Math" w:hAnsi="Cambria Math"/>
            <w:sz w:val="18"/>
            <w:szCs w:val="18"/>
          </w:rPr>
          <m:t>tanh⁻¹</m:t>
        </m:r>
        <m:d>
          <m:dPr>
            <m:ctrlPr>
              <w:rPr>
                <w:rFonts w:ascii="Cambria Math" w:hAnsi="Cambria Math"/>
                <w:sz w:val="18"/>
                <w:szCs w:val="18"/>
              </w:rPr>
            </m:ctrlPr>
          </m:dPr>
          <m:e>
            <m:r>
              <w:rPr>
                <w:rFonts w:ascii="Cambria Math" w:hAnsi="Cambria Math"/>
                <w:sz w:val="18"/>
                <w:szCs w:val="18"/>
              </w:rPr>
              <m:t>e</m:t>
            </m:r>
          </m:e>
        </m:d>
      </m:oMath>
      <w:r>
        <w:t xml:space="preserve"> at apoapsis, also distributes numerical resolution more evenly across the orbit than </w:t>
      </w:r>
      <w:r>
        <w:rPr>
          <w:i/>
          <w:iCs/>
        </w:rPr>
        <w:t>r</w:t>
      </w:r>
      <w:r>
        <w:t xml:space="preserve"> does, which is most valuable as </w:t>
      </w:r>
      <w:r>
        <w:rPr>
          <w:i/>
          <w:iCs/>
        </w:rPr>
        <w:t>e</w:t>
      </w:r>
      <w:r>
        <w:t xml:space="preserve"> → 1 where classical Kepler solution requires the most iterations. Once both tolerances are satisfied, the full orbital state is recovered from the converged </w:t>
      </w:r>
      <w:r>
        <w:rPr>
          <w:i/>
          <w:iCs/>
        </w:rPr>
        <w:t>E</w:t>
      </w:r>
      <w:r>
        <w:t xml:space="preserve"> and </w:t>
      </w:r>
      <w:r>
        <w:rPr>
          <w:i/>
          <w:iCs/>
        </w:rPr>
        <w:t>R</w:t>
      </w:r>
      <w:r>
        <w:t>. The orbital radius and true anomaly follow from the polar equation for a conic section.</w:t>
      </w:r>
    </w:p>
    <w:p w14:paraId="01492FCD" w14:textId="0D7995DF" w:rsidR="00E63BA1" w:rsidRPr="0034616D" w:rsidRDefault="009233EC" w:rsidP="004A6D2D">
      <w:pPr>
        <w:spacing w:before="100" w:beforeAutospacing="1" w:after="100" w:afterAutospacing="1"/>
        <w:jc w:val="right"/>
      </w:pPr>
      <w:r>
        <w:rPr>
          <w:noProof/>
          <w:position w:val="-23"/>
        </w:rPr>
        <w:drawing>
          <wp:inline distT="0" distB="0" distL="0" distR="0" wp14:anchorId="345714A8" wp14:editId="728A1484">
            <wp:extent cx="1028166" cy="266700"/>
            <wp:effectExtent l="0" t="0" r="635" b="0"/>
            <wp:docPr id="1358601441" name="Picture 1358601441" descr="{&quot;mathml&quot;:&quot;&lt;math style=\&quot;font-family:stix;font-size:16px;\&quot; xmlns=\&quot;http://www.w3.org/1998/Math/MathML\&quot;&gt;&lt;mi&gt;cos&lt;/mi&gt;&lt;mo&gt;&amp;#xA0;&lt;/mo&gt;&lt;mi&gt;&amp;#x3B8;&lt;/mi&gt;&lt;mo&gt;=&lt;/mo&gt;&lt;mfrac&gt;&lt;mn&gt;1&lt;/mn&gt;&lt;mi&gt;e&lt;/mi&gt;&lt;/mfrac&gt;&lt;mfenced&gt;&lt;mrow&gt;&lt;mfrac bevelled=\&quot;true\&quot;&gt;&lt;mi&gt;p&lt;/mi&gt;&lt;mi&gt;r&lt;/mi&gt;&lt;/mfrac&gt;&lt;mo&gt;-&lt;/mo&gt;&lt;mn&gt;1&lt;/mn&gt;&lt;/mrow&gt;&lt;/mfenced&gt;&lt;/math&gt;&quot;,&quot;origin&quot;:&quot;MathType Legacy&quot;,&quot;version&quot;:&quot;v3.26.0&quot;}" title="cos space theta equals 1 over e open parentheses bevelled p over r minus 1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cos&lt;/mi&gt;&lt;mo&gt;&amp;#xA0;&lt;/mo&gt;&lt;mi&gt;&amp;#x3B8;&lt;/mi&gt;&lt;mo&gt;=&lt;/mo&gt;&lt;mfrac&gt;&lt;mn&gt;1&lt;/mn&gt;&lt;mi&gt;e&lt;/mi&gt;&lt;/mfrac&gt;&lt;mfenced&gt;&lt;mrow&gt;&lt;mfrac bevelled=\&quot;true\&quot;&gt;&lt;mi&gt;p&lt;/mi&gt;&lt;mi&gt;r&lt;/mi&gt;&lt;/mfrac&gt;&lt;mo&gt;-&lt;/mo&gt;&lt;mn&gt;1&lt;/mn&gt;&lt;/mrow&gt;&lt;/mfenced&gt;&lt;/math&gt;&quot;,&quot;origin&quot;:&quot;MathType Legacy&quot;,&quot;version&quot;:&quot;v3.26.0&quot;}" title="cos space theta equals 1 over e open parentheses bevelled p over r minus 1 close parentheses"/>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047893" cy="271817"/>
                    </a:xfrm>
                    <a:prstGeom prst="rect">
                      <a:avLst/>
                    </a:prstGeom>
                  </pic:spPr>
                </pic:pic>
              </a:graphicData>
            </a:graphic>
          </wp:inline>
        </w:drawing>
      </w:r>
      <w:r>
        <w:t>                                                                      (24)</w:t>
      </w:r>
    </w:p>
    <w:p w14:paraId="6FBB7B59" w14:textId="77777777" w:rsidR="00E63BA1" w:rsidRPr="0034616D" w:rsidRDefault="00E63BA1" w:rsidP="00E63BA1">
      <w:pPr>
        <w:spacing w:before="100" w:beforeAutospacing="1" w:after="100" w:afterAutospacing="1"/>
      </w:pPr>
      <w:r>
        <w:t>and the three-dimensional position in the conical frame is given by the cylindrical coordinates</w:t>
      </w:r>
    </w:p>
    <w:p w14:paraId="06780829" w14:textId="4D7E0BE7" w:rsidR="00E63BA1" w:rsidRPr="0034616D" w:rsidRDefault="009233EC" w:rsidP="004A6D2D">
      <w:pPr>
        <w:spacing w:before="100" w:beforeAutospacing="1" w:after="100" w:afterAutospacing="1"/>
        <w:jc w:val="right"/>
      </w:pPr>
      <w:r>
        <w:rPr>
          <w:noProof/>
          <w:position w:val="-13"/>
        </w:rPr>
        <w:drawing>
          <wp:inline distT="0" distB="0" distL="0" distR="0" wp14:anchorId="375B0887" wp14:editId="5ED37DB3">
            <wp:extent cx="749094" cy="142875"/>
            <wp:effectExtent l="0" t="0" r="0" b="0"/>
            <wp:docPr id="1993134124" name="Picture 1993134124" descr="{&quot;mathml&quot;:&quot;&lt;math style=\&quot;font-family:stix;font-size:16px;\&quot; xmlns=\&quot;http://www.w3.org/1998/Math/MathML\&quot;&gt;&lt;mi&gt;z&lt;/mi&gt;&lt;mo&gt;&amp;#xA0;&lt;/mo&gt;&lt;mo&gt;=&lt;/mo&gt;&lt;mo&gt;&amp;#xA0;&lt;/mo&gt;&lt;mi&gt;R&lt;/mi&gt;&lt;mo&gt;&amp;#xA0;&lt;/mo&gt;&lt;mi&gt;cos&lt;/mi&gt;&lt;mo&gt;&amp;#xA0;&lt;/mo&gt;&lt;msub&gt;&lt;mi&gt;&amp;#x3A6;&lt;/mi&gt;&lt;mi&gt;c&lt;/mi&gt;&lt;/msub&gt;&lt;/math&gt;&quot;,&quot;origin&quot;:&quot;MathType Legacy&quot;,&quot;version&quot;:&quot;v3.26.0&quot;}" title="z space equals space R space cos space capital phi subscrip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z&lt;/mi&gt;&lt;mo&gt;&amp;#xA0;&lt;/mo&gt;&lt;mo&gt;=&lt;/mo&gt;&lt;mo&gt;&amp;#xA0;&lt;/mo&gt;&lt;mi&gt;R&lt;/mi&gt;&lt;mo&gt;&amp;#xA0;&lt;/mo&gt;&lt;mi&gt;cos&lt;/mi&gt;&lt;mo&gt;&amp;#xA0;&lt;/mo&gt;&lt;msub&gt;&lt;mi&gt;&amp;#x3A6;&lt;/mi&gt;&lt;mi&gt;c&lt;/mi&gt;&lt;/msub&gt;&lt;/math&gt;&quot;,&quot;origin&quot;:&quot;MathType Legacy&quot;,&quot;version&quot;:&quot;v3.26.0&quot;}" title="z space equals space R space cos space capital phi subscript c"/>
                    <pic:cNvPicPr/>
                  </pic:nvPicPr>
                  <pic:blipFill>
                    <a:blip r:embed="rId42" cstate="print">
                      <a:extLst>
                        <a:ext uri="{28A0092B-C50C-407E-A947-70E740481C1C}">
                          <a14:useLocalDpi xmlns:a14="http://schemas.microsoft.com/office/drawing/2010/main" val="0"/>
                        </a:ext>
                      </a:extLst>
                    </a:blip>
                    <a:stretch>
                      <a:fillRect/>
                    </a:stretch>
                  </pic:blipFill>
                  <pic:spPr>
                    <a:xfrm>
                      <a:off x="0" y="0"/>
                      <a:ext cx="801725" cy="152913"/>
                    </a:xfrm>
                    <a:prstGeom prst="rect">
                      <a:avLst/>
                    </a:prstGeom>
                  </pic:spPr>
                </pic:pic>
              </a:graphicData>
            </a:graphic>
          </wp:inline>
        </w:drawing>
      </w:r>
      <w:r>
        <w:t xml:space="preserve"> ,    </w:t>
      </w:r>
      <w:r>
        <w:rPr>
          <w:noProof/>
          <w:position w:val="-13"/>
        </w:rPr>
        <w:drawing>
          <wp:inline distT="0" distB="0" distL="0" distR="0" wp14:anchorId="23FC6634" wp14:editId="30D4627F">
            <wp:extent cx="1039092" cy="142875"/>
            <wp:effectExtent l="0" t="0" r="8890" b="0"/>
            <wp:docPr id="1305723456" name="Picture 1305723456" descr="{&quot;mathml&quot;:&quot;&lt;math style=\&quot;font-family:stix;font-size:16px;\&quot; xmlns=\&quot;http://www.w3.org/1998/Math/MathML\&quot;&gt;&lt;mi&gt;&amp;#x3C1;&lt;/mi&gt;&lt;mo&gt;&amp;#xA0;&lt;/mo&gt;&lt;mo&gt;=&lt;/mo&gt;&lt;mo&gt;&amp;#xA0;&lt;/mo&gt;&lt;mi&gt;R&lt;/mi&gt;&lt;mo&gt;&amp;#xA0;&lt;/mo&gt;&lt;mi&gt;sin&lt;/mi&gt;&lt;mo&gt;&amp;#xA0;&lt;/mo&gt;&lt;msub&gt;&lt;mi&gt;&amp;#x3A6;&lt;/mi&gt;&lt;mi&gt;c&lt;/mi&gt;&lt;/msub&gt;&lt;mo&gt;&amp;#xA0;&lt;/mo&gt;&lt;mo&gt;=&lt;/mo&gt;&lt;mo&gt;&amp;#xA0;&lt;/mo&gt;&lt;mi&gt;R&lt;/mi&gt;&lt;mo&gt;'&lt;/mo&gt;&lt;/math&gt;&quot;,&quot;origin&quot;:&quot;MathType Legacy&quot;,&quot;version&quot;:&quot;v3.26.0&quot;}" title="rho space equals space R space sin space capital phi subscript c space equals space R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amp;#x3C1;&lt;/mi&gt;&lt;mo&gt;&amp;#xA0;&lt;/mo&gt;&lt;mo&gt;=&lt;/mo&gt;&lt;mo&gt;&amp;#xA0;&lt;/mo&gt;&lt;mi&gt;R&lt;/mi&gt;&lt;mo&gt;&amp;#xA0;&lt;/mo&gt;&lt;mi&gt;sin&lt;/mi&gt;&lt;mo&gt;&amp;#xA0;&lt;/mo&gt;&lt;msub&gt;&lt;mi&gt;&amp;#x3A6;&lt;/mi&gt;&lt;mi&gt;c&lt;/mi&gt;&lt;/msub&gt;&lt;mo&gt;&amp;#xA0;&lt;/mo&gt;&lt;mo&gt;=&lt;/mo&gt;&lt;mo&gt;&amp;#xA0;&lt;/mo&gt;&lt;mi&gt;R&lt;/mi&gt;&lt;mo&gt;'&lt;/mo&gt;&lt;/math&gt;&quot;,&quot;origin&quot;:&quot;MathType Legacy&quot;,&quot;version&quot;:&quot;v3.26.0&quot;}" title="rho space equals space R space sin space capital phi subscript c space equals space R apostroph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094989" cy="150561"/>
                    </a:xfrm>
                    <a:prstGeom prst="rect">
                      <a:avLst/>
                    </a:prstGeom>
                  </pic:spPr>
                </pic:pic>
              </a:graphicData>
            </a:graphic>
          </wp:inline>
        </w:drawing>
      </w:r>
      <w:r>
        <w:t xml:space="preserve">                                                            (25)</w:t>
      </w:r>
    </w:p>
    <w:p w14:paraId="45DDD174" w14:textId="34BA2FA9" w:rsidR="00E63BA1" w:rsidRDefault="00E63BA1" w:rsidP="00E63BA1">
      <w:pPr>
        <w:spacing w:before="100" w:beforeAutospacing="1" w:after="100" w:afterAutospacing="1"/>
      </w:pPr>
      <w:r>
        <w:t xml:space="preserve">where </w:t>
      </w:r>
      <w:r>
        <w:rPr>
          <w:i/>
          <w:iCs/>
        </w:rPr>
        <w:t>z</w:t>
      </w:r>
      <w:r>
        <w:t xml:space="preserve"> is along the cone axis and </w:t>
      </w:r>
      <w:r>
        <w:rPr>
          <w:i/>
          <w:iCs/>
        </w:rPr>
        <w:t>ρ</w:t>
      </w:r>
      <w:r>
        <w:t xml:space="preserve"> is the perpendicular distance from it. Because the cone half-angle </w:t>
      </w:r>
      <m:oMath>
        <m:sSub>
          <m:sSubPr>
            <m:ctrlPr>
              <w:rPr>
                <w:rFonts w:ascii="Cambria Math" w:hAnsi="Cambria Math"/>
                <w:i/>
                <w:sz w:val="18"/>
                <w:szCs w:val="18"/>
              </w:rPr>
            </m:ctrlPr>
          </m:sSubPr>
          <m:e>
            <m:r>
              <w:rPr>
                <w:rFonts w:ascii="Cambria Math" w:hAnsi="Cambria Math"/>
                <w:sz w:val="18"/>
                <w:szCs w:val="18"/>
              </w:rPr>
              <m:t>Φ</m:t>
            </m:r>
          </m:e>
          <m:sub>
            <m:r>
              <w:rPr>
                <w:rFonts w:ascii="Cambria Math" w:hAnsi="Cambria Math"/>
                <w:sz w:val="18"/>
                <w:szCs w:val="18"/>
              </w:rPr>
              <m:t>c</m:t>
            </m:r>
          </m:sub>
        </m:sSub>
        <m:r>
          <w:rPr>
            <w:rFonts w:ascii="Cambria Math" w:hAnsi="Cambria Math"/>
            <w:sz w:val="18"/>
            <w:szCs w:val="18"/>
          </w:rPr>
          <m:t>=</m:t>
        </m:r>
        <m:r>
          <m:rPr>
            <m:sty m:val="p"/>
          </m:rPr>
          <w:rPr>
            <w:rFonts w:ascii="Cambria Math" w:hAnsi="Cambria Math"/>
            <w:sz w:val="18"/>
            <w:szCs w:val="18"/>
          </w:rPr>
          <m:t>45°</m:t>
        </m:r>
      </m:oMath>
      <w:r>
        <w:t xml:space="preserve"> is fixed, z = </w:t>
      </w:r>
      <w:r>
        <w:rPr>
          <w:i/>
          <w:iCs/>
        </w:rPr>
        <w:t>ρ</w:t>
      </w:r>
      <w:r>
        <w:t xml:space="preserve"> = </w:t>
      </w:r>
      <w:r>
        <w:rPr>
          <w:i/>
          <w:iCs/>
        </w:rPr>
        <w:t>R</w:t>
      </w:r>
      <w:r>
        <w:t xml:space="preserve">’ at every point along the orbit, consistent with </w:t>
      </w:r>
      <m:oMath>
        <m:r>
          <w:rPr>
            <w:rFonts w:ascii="Cambria Math" w:hAnsi="Cambria Math"/>
            <w:sz w:val="18"/>
            <w:szCs w:val="18"/>
          </w:rPr>
          <m:t>R²=r²+ap</m:t>
        </m:r>
      </m:oMath>
      <w:r>
        <w:t xml:space="preserve">, or equivalently </w:t>
      </w:r>
      <m:oMath>
        <m:r>
          <w:rPr>
            <w:rFonts w:ascii="Cambria Math" w:hAnsi="Cambria Math"/>
            <w:sz w:val="18"/>
            <w:szCs w:val="18"/>
          </w:rPr>
          <m:t>2R’²=r²+ap</m:t>
        </m:r>
      </m:oMath>
      <w:r>
        <w:t xml:space="preserve">. The precision of the solution is controlled by the choice of </w:t>
      </w:r>
      <m:oMath>
        <m:sSub>
          <m:sSubPr>
            <m:ctrlPr>
              <w:rPr>
                <w:rFonts w:ascii="Cambria Math" w:hAnsi="Cambria Math"/>
              </w:rPr>
            </m:ctrlPr>
          </m:sSubPr>
          <m:e>
            <m:r>
              <w:rPr>
                <w:rFonts w:ascii="Cambria Math" w:hAnsi="Cambria Math"/>
              </w:rPr>
              <m:t>τ</m:t>
            </m:r>
          </m:e>
          <m:sub>
            <m:r>
              <w:rPr>
                <w:rFonts w:ascii="Cambria Math" w:hAnsi="Cambria Math"/>
              </w:rPr>
              <m:t>E</m:t>
            </m:r>
          </m:sub>
        </m:sSub>
      </m:oMath>
      <w:r>
        <w:t xml:space="preserve">and   , which may be set independently. Near periapsis, where small changes in </w:t>
      </w:r>
      <w:r>
        <w:rPr>
          <w:i/>
          <w:iCs/>
        </w:rPr>
        <w:t>E</w:t>
      </w:r>
      <w:r>
        <w:t xml:space="preserve"> produce large changes in </w:t>
      </w:r>
      <w:r>
        <w:rPr>
          <w:i/>
          <w:iCs/>
        </w:rPr>
        <w:t>R</w:t>
      </w:r>
      <w:r>
        <w:t xml:space="preserve">, the geometric tolerance </w:t>
      </w:r>
      <m:oMath>
        <m:sSub>
          <m:sSubPr>
            <m:ctrlPr>
              <w:rPr>
                <w:rFonts w:ascii="Cambria Math" w:hAnsi="Cambria Math"/>
              </w:rPr>
            </m:ctrlPr>
          </m:sSubPr>
          <m:e>
            <m:r>
              <w:rPr>
                <w:rFonts w:ascii="Cambria Math" w:hAnsi="Cambria Math"/>
              </w:rPr>
              <m:t>τ</m:t>
            </m:r>
          </m:e>
          <m:sub>
            <m:r>
              <w:rPr>
                <w:rFonts w:ascii="Cambria Math" w:hAnsi="Cambria Math"/>
              </w:rPr>
              <m:t>λ</m:t>
            </m:r>
          </m:sub>
        </m:sSub>
      </m:oMath>
      <w:r>
        <w:t xml:space="preserve"> provides a more sensitive criterion; near apoapsis, </w:t>
      </w:r>
      <m:oMath>
        <m:sSub>
          <m:sSubPr>
            <m:ctrlPr>
              <w:rPr>
                <w:rFonts w:ascii="Cambria Math" w:hAnsi="Cambria Math"/>
                <w:i/>
              </w:rPr>
            </m:ctrlPr>
          </m:sSubPr>
          <m:e>
            <m:r>
              <w:rPr>
                <w:rFonts w:ascii="Cambria Math" w:hAnsi="Cambria Math"/>
              </w:rPr>
              <m:t>τ</m:t>
            </m:r>
          </m:e>
          <m:sub>
            <m:r>
              <w:rPr>
                <w:rFonts w:ascii="Cambria Math" w:hAnsi="Cambria Math"/>
              </w:rPr>
              <m:t>E</m:t>
            </m:r>
          </m:sub>
        </m:sSub>
      </m:oMath>
      <w:r>
        <w:t xml:space="preserve">, is primary. Selecting tolerances adaptively based on the current value of </w:t>
      </w:r>
      <w:r>
        <w:rPr>
          <w:i/>
          <w:iCs/>
        </w:rPr>
        <w:t>λ</w:t>
      </w:r>
      <w:r>
        <w:t xml:space="preserve"> relative to </w:t>
      </w:r>
      <m:oMath>
        <m:r>
          <w:rPr>
            <w:rFonts w:ascii="Cambria Math" w:hAnsi="Cambria Math"/>
          </w:rPr>
          <m:t>tanh⁻¹</m:t>
        </m:r>
        <m:d>
          <m:dPr>
            <m:ctrlPr>
              <w:rPr>
                <w:rFonts w:ascii="Cambria Math" w:hAnsi="Cambria Math"/>
              </w:rPr>
            </m:ctrlPr>
          </m:dPr>
          <m:e>
            <m:r>
              <w:rPr>
                <w:rFonts w:ascii="Cambria Math" w:hAnsi="Cambria Math"/>
              </w:rPr>
              <m:t>e</m:t>
            </m:r>
          </m:e>
        </m:d>
      </m:oMath>
      <w:r>
        <w:t xml:space="preserve"> is a natural extension that the logarithmic formulation makes straightforward.</w:t>
      </w:r>
    </w:p>
    <w:p w14:paraId="2037A96F" w14:textId="421D7412" w:rsidR="00210F79" w:rsidRPr="00BC17DF" w:rsidRDefault="00210F79" w:rsidP="00390543">
      <w:pPr>
        <w:spacing w:before="100" w:beforeAutospacing="1" w:after="100" w:afterAutospacing="1"/>
      </w:pPr>
      <w:r>
        <w:t xml:space="preserve">The logarithmic variable also suggests a natural node-placement strategy for table-lookup positioning, useful when rapid repeated evaluations are required across many candidate geometries. Uniform spacing in </w:t>
      </w:r>
      <w:r>
        <w:rPr>
          <w:i/>
          <w:iCs/>
        </w:rPr>
        <w:t>R</w:t>
      </w:r>
      <w:r>
        <w:t xml:space="preserve"> produces node spacing in </w:t>
      </w:r>
      <w:r>
        <w:rPr>
          <w:i/>
          <w:iCs/>
        </w:rPr>
        <w:t>r</w:t>
      </w:r>
      <w:r>
        <w:t xml:space="preserve"> that is finer in the lower arc precisely where high-eccentricity trajectories create the greatest interpolation challenge. It is a direct structural consequence of </w:t>
      </w:r>
      <m:oMath>
        <m:r>
          <w:rPr>
            <w:rFonts w:ascii="Cambria Math" w:hAnsi="Cambria Math"/>
          </w:rPr>
          <m:t>R</m:t>
        </m:r>
        <m:r>
          <m:rPr>
            <m:sty m:val="p"/>
          </m:rPr>
          <w:rPr>
            <w:rFonts w:ascii="Cambria Math" w:hAnsi="Cambria Math"/>
          </w:rPr>
          <m:t>²=</m:t>
        </m:r>
        <m:r>
          <w:rPr>
            <w:rFonts w:ascii="Cambria Math" w:hAnsi="Cambria Math"/>
          </w:rPr>
          <m:t>r</m:t>
        </m:r>
        <m:r>
          <m:rPr>
            <m:sty m:val="p"/>
          </m:rPr>
          <w:rPr>
            <w:rFonts w:ascii="Cambria Math" w:hAnsi="Cambria Math"/>
          </w:rPr>
          <m:t>²+</m:t>
        </m:r>
        <m:r>
          <w:rPr>
            <w:rFonts w:ascii="Cambria Math" w:hAnsi="Cambria Math"/>
          </w:rPr>
          <m:t>ap</m:t>
        </m:r>
      </m:oMath>
      <w:r>
        <w:t xml:space="preserve"> rather than parameter tuning. Numerical verification for a representative high-eccentricity lofted intercept trajectory is given in the Appendix. </w:t>
      </w:r>
      <w:r w:rsidR="00E0181D" w:rsidRPr="00390543">
        <w:t>For a representative high-eccentricity lofted intercept (e = 0.996, γ = 85°), R-frame node placement reduces TOF interpolation error at the target by roughly a factor of five relative to uniform-time Kepler nodes (2.1 s vs. 11.1 s); the full numerical comparison is given in the Appendix."</w:t>
      </w:r>
    </w:p>
    <w:p w14:paraId="25AB8D51" w14:textId="1C2AF519" w:rsidR="0083564F" w:rsidRDefault="0083564F" w:rsidP="00BC17DF">
      <w:pPr>
        <w:keepNext/>
        <w:numPr>
          <w:ilvl w:val="0"/>
          <w:numId w:val="2"/>
        </w:numPr>
        <w:tabs>
          <w:tab w:val="num" w:pos="180"/>
        </w:tabs>
        <w:spacing w:before="240" w:after="120"/>
        <w:ind w:left="180" w:hanging="180"/>
        <w:jc w:val="center"/>
        <w:outlineLvl w:val="0"/>
        <w:rPr>
          <w:b/>
          <w:kern w:val="32"/>
          <w:sz w:val="22"/>
        </w:rPr>
      </w:pPr>
      <w:r>
        <w:rPr>
          <w:b/>
          <w:kern w:val="32"/>
          <w:sz w:val="22"/>
        </w:rPr>
        <w:t>Conclusion</w:t>
      </w:r>
    </w:p>
    <w:p w14:paraId="751CB664" w14:textId="77777777" w:rsidR="0083564F" w:rsidRPr="00EB3B8D" w:rsidRDefault="0083564F" w:rsidP="00AD7089">
      <w:pPr>
        <w:tabs>
          <w:tab w:val="left" w:pos="288"/>
        </w:tabs>
        <w:ind w:firstLine="288"/>
      </w:pPr>
      <w:r>
        <w:t>Three results have been developed for two-body orbital motion analyzed within a three-dimensional conical reference frame having a 90-degree apex angle and its apex at the center of the gravitational field.</w:t>
      </w:r>
    </w:p>
    <w:p w14:paraId="698E028D" w14:textId="3A653286" w:rsidR="0083564F" w:rsidRPr="00EB3B8D" w:rsidRDefault="0083564F" w:rsidP="00AD7089">
      <w:pPr>
        <w:tabs>
          <w:tab w:val="left" w:pos="288"/>
        </w:tabs>
        <w:ind w:firstLine="288"/>
      </w:pPr>
      <w:r>
        <w:rPr>
          <w:b/>
          <w:bCs/>
        </w:rPr>
        <w:t>A. Tilt angle.</w:t>
      </w:r>
      <w:r>
        <w:t xml:space="preserve"> The angle </w:t>
      </w:r>
      <w:r>
        <w:rPr>
          <w:i/>
          <w:iCs/>
        </w:rPr>
        <w:t>Φ</w:t>
      </w:r>
      <w:r>
        <w:t xml:space="preserve">ₕ of the orbital plane relative to the cone axis satisfies </w:t>
      </w:r>
      <m:oMath>
        <m:r>
          <w:rPr>
            <w:rFonts w:ascii="Cambria Math" w:hAnsi="Cambria Math"/>
            <w:sz w:val="18"/>
            <w:szCs w:val="18"/>
          </w:rPr>
          <m:t>sin</m:t>
        </m:r>
        <m:d>
          <m:dPr>
            <m:ctrlPr>
              <w:rPr>
                <w:rFonts w:ascii="Cambria Math" w:hAnsi="Cambria Math"/>
                <w:sz w:val="18"/>
                <w:szCs w:val="18"/>
              </w:rPr>
            </m:ctrlPr>
          </m:dPr>
          <m:e>
            <m:r>
              <w:rPr>
                <w:rFonts w:ascii="Cambria Math" w:hAnsi="Cambria Math"/>
                <w:sz w:val="18"/>
                <w:szCs w:val="18"/>
              </w:rPr>
              <m:t>2Φₕ</m:t>
            </m:r>
          </m:e>
        </m:d>
        <m:r>
          <w:rPr>
            <w:rFonts w:ascii="Cambria Math" w:hAnsi="Cambria Math"/>
            <w:sz w:val="18"/>
            <w:szCs w:val="18"/>
          </w:rPr>
          <m:t>=e</m:t>
        </m:r>
      </m:oMath>
      <w:r>
        <w:t>, providing a direct geometric encoding of eccentricity that is intrinsic to the frame and requires no reference to the orbital plane. This result emerges from the edge view geometry of the 90-degree cone and the standard ellipse parameters and does not appear to have been previously stated in this form.</w:t>
      </w:r>
    </w:p>
    <w:p w14:paraId="0804CE8B" w14:textId="7AE621A8" w:rsidR="0083564F" w:rsidRPr="00EB3B8D" w:rsidRDefault="0083564F" w:rsidP="00AD7089">
      <w:pPr>
        <w:tabs>
          <w:tab w:val="left" w:pos="288"/>
        </w:tabs>
        <w:ind w:firstLine="288"/>
      </w:pPr>
      <w:r>
        <w:rPr>
          <w:b/>
          <w:bCs/>
        </w:rPr>
        <w:t>B. Logarithmic flux</w:t>
      </w:r>
      <w:r>
        <w:t xml:space="preserve">. Apply Gauss's law for gravitation to the conical surface to yields a logarithmic flux integral that connects pointwise to Kepler's equation through the eccentric anomaly </w:t>
      </w:r>
      <w:r>
        <w:rPr>
          <w:i/>
          <w:iCs/>
        </w:rPr>
        <w:t>E</w:t>
      </w:r>
      <w:r>
        <w:t>. This establishes a three-dimensional geometric interpretation of that classical result, complementing its traditional two-dimensional interpretation as the parameter of the auxiliary circle in the orbital plane.</w:t>
      </w:r>
    </w:p>
    <w:p w14:paraId="3B744C84" w14:textId="2EB9DC4A" w:rsidR="0083564F" w:rsidRPr="00EB3B8D" w:rsidRDefault="00AD7089" w:rsidP="00AD7089">
      <w:pPr>
        <w:tabs>
          <w:tab w:val="left" w:pos="288"/>
        </w:tabs>
        <w:ind w:firstLine="288"/>
      </w:pPr>
      <w:r>
        <w:rPr>
          <w:b/>
          <w:bCs/>
        </w:rPr>
        <w:t>C.</w:t>
      </w:r>
      <w:r>
        <w:t xml:space="preserve"> </w:t>
      </w:r>
      <w:r>
        <w:rPr>
          <w:b/>
          <w:bCs/>
        </w:rPr>
        <w:t>Numerical Solution.</w:t>
      </w:r>
      <w:r>
        <w:t xml:space="preserve"> The logarithmic structure supports a Newton-Raphson positioning scheme with dual convergence tolerances, one on the Kepler residual and one on the logarithmic position variable providing an independent geometric consistency check that is unavailable in the classical two-dimensional approach.</w:t>
      </w:r>
    </w:p>
    <w:p w14:paraId="77A82942" w14:textId="2CB624B1" w:rsidR="0083564F" w:rsidRPr="00EB3B8D" w:rsidRDefault="0083564F" w:rsidP="0083564F">
      <w:pPr>
        <w:tabs>
          <w:tab w:val="left" w:pos="288"/>
        </w:tabs>
        <w:spacing w:after="120"/>
        <w:ind w:firstLine="288"/>
      </w:pPr>
      <w:r>
        <w:t xml:space="preserve">The conical reference frame developed here applies to bound elliptical orbits. Several extensions present themselves as directions for further work. The framework may generalize to hyperbolic trajectories, where e &gt; 1 and the cone geometry would require reexamination of the </w:t>
      </w:r>
      <m:oMath>
        <m:r>
          <w:rPr>
            <w:rFonts w:ascii="Cambria Math" w:hAnsi="Cambria Math"/>
            <w:sz w:val="18"/>
            <w:szCs w:val="18"/>
          </w:rPr>
          <m:t>sin</m:t>
        </m:r>
        <m:d>
          <m:dPr>
            <m:ctrlPr>
              <w:rPr>
                <w:rFonts w:ascii="Cambria Math" w:hAnsi="Cambria Math"/>
                <w:sz w:val="18"/>
                <w:szCs w:val="18"/>
              </w:rPr>
            </m:ctrlPr>
          </m:dPr>
          <m:e>
            <m:r>
              <w:rPr>
                <w:rFonts w:ascii="Cambria Math" w:hAnsi="Cambria Math"/>
                <w:sz w:val="18"/>
                <w:szCs w:val="18"/>
              </w:rPr>
              <m:t>2Φₕ</m:t>
            </m:r>
          </m:e>
        </m:d>
        <m:r>
          <w:rPr>
            <w:rFonts w:ascii="Cambria Math" w:hAnsi="Cambria Math"/>
            <w:sz w:val="18"/>
            <w:szCs w:val="18"/>
          </w:rPr>
          <m:t>=e</m:t>
        </m:r>
      </m:oMath>
      <w:r>
        <w:t xml:space="preserve"> result. The dynamic conformance models introduced in Ref. [5] offer a further extension, potentially transforming the static flux result into a time-evolving dynamical statement. The intersection of two cones, each associated with a distinct orbit sharing a common focus, may provide geometric insight into orbital transfer problems. Geodesic paths on the cone surface represent an additional avenue connecting the geometric framework to variational methods in orbital mechanics.</w:t>
      </w:r>
    </w:p>
    <w:p w14:paraId="5BB87464" w14:textId="77777777" w:rsidR="0083564F" w:rsidRDefault="0083564F" w:rsidP="00A10A95">
      <w:pPr>
        <w:tabs>
          <w:tab w:val="left" w:pos="288"/>
        </w:tabs>
        <w:spacing w:after="120"/>
        <w:ind w:firstLine="288"/>
      </w:pPr>
    </w:p>
    <w:p w14:paraId="6A3E5DF6" w14:textId="77777777" w:rsidR="00BC17DF" w:rsidRDefault="00BC17DF" w:rsidP="00EB4B45">
      <w:pPr>
        <w:jc w:val="left"/>
      </w:pPr>
    </w:p>
    <w:p w14:paraId="3AEA8981" w14:textId="77777777" w:rsidR="00BC17DF" w:rsidRDefault="00BC17DF" w:rsidP="00EB4B45">
      <w:pPr>
        <w:jc w:val="left"/>
      </w:pPr>
    </w:p>
    <w:p w14:paraId="5EABFE67" w14:textId="77777777" w:rsidR="00BC17DF" w:rsidRDefault="00BC17DF" w:rsidP="00EB4B45">
      <w:pPr>
        <w:jc w:val="left"/>
      </w:pPr>
    </w:p>
    <w:p w14:paraId="7C8F3CEF" w14:textId="77777777" w:rsidR="00BC17DF" w:rsidRDefault="00BC17DF" w:rsidP="00EB4B45">
      <w:pPr>
        <w:jc w:val="left"/>
      </w:pPr>
    </w:p>
    <w:p w14:paraId="08BA7C81" w14:textId="77777777" w:rsidR="00BC17DF" w:rsidRDefault="00BC17DF" w:rsidP="00EB4B45">
      <w:pPr>
        <w:jc w:val="left"/>
      </w:pPr>
    </w:p>
    <w:p w14:paraId="41AACD60" w14:textId="77777777" w:rsidR="00BC17DF" w:rsidRDefault="00BC17DF" w:rsidP="00EB4B45">
      <w:pPr>
        <w:jc w:val="left"/>
      </w:pPr>
    </w:p>
    <w:p w14:paraId="18AE5312" w14:textId="77777777" w:rsidR="00BC17DF" w:rsidRDefault="00BC17DF" w:rsidP="00EB4B45">
      <w:pPr>
        <w:jc w:val="left"/>
      </w:pPr>
    </w:p>
    <w:p w14:paraId="3CFD80F3" w14:textId="14C1ACE3" w:rsidR="00BC17DF" w:rsidRDefault="00BC17DF" w:rsidP="00BC17DF">
      <w:pPr>
        <w:spacing w:after="120"/>
        <w:jc w:val="left"/>
      </w:pPr>
      <w:r>
        <w:rPr>
          <w:b/>
          <w:kern w:val="32"/>
          <w:sz w:val="22"/>
        </w:rPr>
        <w:t>References</w:t>
      </w:r>
    </w:p>
    <w:p w14:paraId="5F4B85F2" w14:textId="768BBF7F" w:rsidR="00EB4B45" w:rsidRPr="00CD53AA" w:rsidRDefault="00EB4B45" w:rsidP="00EB4B45">
      <w:pPr>
        <w:jc w:val="left"/>
      </w:pPr>
      <w:r>
        <w:t xml:space="preserve">[1] "Apollonius of Perga," </w:t>
      </w:r>
      <w:r>
        <w:rPr>
          <w:i/>
          <w:iCs/>
        </w:rPr>
        <w:t>New World Encyclopedia</w:t>
      </w:r>
      <w:r>
        <w:t xml:space="preserve">, </w:t>
      </w:r>
      <w:hyperlink r:id="rId44" w:anchor="Conics" w:history="1">
        <w:r>
          <w:rPr>
            <w:color w:val="0000FF"/>
            <w:u w:val="single"/>
          </w:rPr>
          <w:t>https://www.newworldencyclopedia.org/entry/Apollonius_of_Perga#Conics</w:t>
        </w:r>
      </w:hyperlink>
      <w:r>
        <w:t xml:space="preserve"> (retrieved March 2026).</w:t>
      </w:r>
    </w:p>
    <w:p w14:paraId="6F5E6D7A" w14:textId="77777777" w:rsidR="00EB4B45" w:rsidRDefault="00EB4B45" w:rsidP="00EB4B45">
      <w:pPr>
        <w:jc w:val="left"/>
      </w:pPr>
      <w:r>
        <w:t xml:space="preserve">[2] Bate, R. R., Mueller, D. D., White, J. E., and Saylor, W. W., </w:t>
      </w:r>
      <w:r>
        <w:rPr>
          <w:i/>
          <w:iCs/>
        </w:rPr>
        <w:t>Fundamentals of Astrodynamics</w:t>
      </w:r>
      <w:r>
        <w:t>, 2nd ed., Dover Publications, New York, 2020.</w:t>
      </w:r>
    </w:p>
    <w:p w14:paraId="7084F1AA" w14:textId="58F970E9" w:rsidR="0084405B" w:rsidRPr="00CD53AA" w:rsidRDefault="0084405B" w:rsidP="0084405B">
      <w:pPr>
        <w:jc w:val="left"/>
      </w:pPr>
      <w:r>
        <w:t xml:space="preserve">[3] Curtis, H. D., </w:t>
      </w:r>
      <w:r>
        <w:rPr>
          <w:i/>
          <w:iCs/>
        </w:rPr>
        <w:t>Orbital Mechanics for Engineering Students</w:t>
      </w:r>
      <w:r>
        <w:t>, 3rd ed., Elsevier Butterworth-Heinemann, Oxford, 2013.</w:t>
      </w:r>
    </w:p>
    <w:p w14:paraId="45B06B28" w14:textId="106DB359" w:rsidR="0084405B" w:rsidRPr="00CD53AA" w:rsidRDefault="0084405B" w:rsidP="00EB4B45">
      <w:pPr>
        <w:jc w:val="left"/>
      </w:pPr>
      <w:r>
        <w:t xml:space="preserve">[4] Vallado, D. A., </w:t>
      </w:r>
      <w:r>
        <w:rPr>
          <w:i/>
          <w:iCs/>
        </w:rPr>
        <w:t>Fundamentals of Astrodynamics and Applications</w:t>
      </w:r>
      <w:r>
        <w:t>, 2nd ed., Microcosm Press, El Segundo, CA, 2004.</w:t>
      </w:r>
    </w:p>
    <w:p w14:paraId="149AD5FD" w14:textId="08EAB5C6" w:rsidR="00EB4B45" w:rsidRPr="00CD53AA" w:rsidRDefault="00EB4B45" w:rsidP="00EB4B45">
      <w:pPr>
        <w:jc w:val="left"/>
      </w:pPr>
      <w:r>
        <w:t xml:space="preserve">[5] May, D. H., "Integrated Orbital Motion Equations with Conformance Models," Paper AIAA-99-4060, AIAA Guidance, Navigation, and Control Conference, Portland, </w:t>
      </w:r>
      <w:proofErr w:type="gramStart"/>
      <w:r>
        <w:t>OR,</w:t>
      </w:r>
      <w:proofErr w:type="gramEnd"/>
      <w:r>
        <w:t xml:space="preserve"> August 1999.</w:t>
      </w:r>
    </w:p>
    <w:p w14:paraId="6690B9CB" w14:textId="77777777" w:rsidR="00EB4B45" w:rsidRPr="00CD53AA" w:rsidRDefault="00EB4B45" w:rsidP="00EB4B45">
      <w:pPr>
        <w:jc w:val="left"/>
      </w:pPr>
      <w:r>
        <w:t>[6] May, D. H., "Modeling Orbital Motion in a Circular Conic Reference Frame," Paper AIAA 2022-1431, AIAA SciTech 2022 Forum, San Diego, CA, January 2022.</w:t>
      </w:r>
    </w:p>
    <w:p w14:paraId="4DCE1879" w14:textId="77777777" w:rsidR="00EB4B45" w:rsidRPr="00CD53AA" w:rsidRDefault="00EB4B45" w:rsidP="00EB4B45">
      <w:pPr>
        <w:jc w:val="left"/>
      </w:pPr>
      <w:r>
        <w:t xml:space="preserve">[7] Halpern, J., "54.7: Gauss's Formulation," </w:t>
      </w:r>
      <w:r>
        <w:rPr>
          <w:i/>
          <w:iCs/>
        </w:rPr>
        <w:t xml:space="preserve">Physics </w:t>
      </w:r>
      <w:proofErr w:type="spellStart"/>
      <w:r>
        <w:rPr>
          <w:i/>
          <w:iCs/>
        </w:rPr>
        <w:t>LibreTexts</w:t>
      </w:r>
      <w:proofErr w:type="spellEnd"/>
      <w:r>
        <w:t xml:space="preserve">, </w:t>
      </w:r>
      <w:hyperlink r:id="rId45" w:history="1">
        <w:r>
          <w:rPr>
            <w:color w:val="0000FF"/>
            <w:u w:val="single"/>
          </w:rPr>
          <w:t>https://phys.libretexts.org/Courses/Prince_Georges_Community_College/General_Physics_I%3A_Classical_Mechanics/54%3A_Gravity/54.07%3A_Gausss_Formulation</w:t>
        </w:r>
      </w:hyperlink>
      <w:r>
        <w:t xml:space="preserve"> (retrieved February 2026).</w:t>
      </w:r>
    </w:p>
    <w:p w14:paraId="768DBDD5" w14:textId="77777777" w:rsidR="00EB4B45" w:rsidRPr="00CD53AA" w:rsidRDefault="00EB4B45" w:rsidP="00EB4B45">
      <w:pPr>
        <w:jc w:val="left"/>
      </w:pPr>
      <w:r>
        <w:t xml:space="preserve">[8] Tatum, J. B., "5.5: Gauss's Theorem," </w:t>
      </w:r>
      <w:r>
        <w:rPr>
          <w:i/>
          <w:iCs/>
        </w:rPr>
        <w:t>Celestial Mechanics</w:t>
      </w:r>
      <w:r>
        <w:t xml:space="preserve">, Physics </w:t>
      </w:r>
      <w:proofErr w:type="spellStart"/>
      <w:r>
        <w:t>LibreTexts</w:t>
      </w:r>
      <w:proofErr w:type="spellEnd"/>
      <w:r>
        <w:t xml:space="preserve">, </w:t>
      </w:r>
      <w:hyperlink r:id="rId46" w:history="1">
        <w:r>
          <w:rPr>
            <w:color w:val="0000FF"/>
            <w:u w:val="single"/>
          </w:rPr>
          <w:t>https://phys.libretexts.org/Bookshelves/Astronomy__Cosmology/Celestial_Mechanics_(Tatum)/05%3A_Gravitational_Field_and_Potential/5.05%3A_Gauss's_Theorem</w:t>
        </w:r>
      </w:hyperlink>
      <w:r>
        <w:t xml:space="preserve"> (retrieved February 2026).</w:t>
      </w:r>
    </w:p>
    <w:p w14:paraId="36B89974" w14:textId="77777777" w:rsidR="00EB4B45" w:rsidRPr="00CD53AA" w:rsidRDefault="00EB4B45" w:rsidP="00EB4B45">
      <w:pPr>
        <w:jc w:val="left"/>
      </w:pPr>
      <w:r>
        <w:t>[9] May, D. H., "Orbital Motion Equations with Dynamic Models," Paper AAS 05-354, AAS/AIAA Astrodynamics Specialist Conference, Lake Tahoe, CA, August 2005.</w:t>
      </w:r>
    </w:p>
    <w:p w14:paraId="62E3C165" w14:textId="77777777" w:rsidR="00EB4B45" w:rsidRPr="00CD53AA" w:rsidRDefault="00EB4B45" w:rsidP="00EB4B45">
      <w:pPr>
        <w:jc w:val="left"/>
      </w:pPr>
      <w:r>
        <w:t xml:space="preserve">[10] Zwillinger, D., </w:t>
      </w:r>
      <w:r>
        <w:rPr>
          <w:i/>
          <w:iCs/>
        </w:rPr>
        <w:t>Standard Mathematical Tables and Formulae</w:t>
      </w:r>
      <w:r>
        <w:t>, 30th ed., CRC Press, New York, 1996.</w:t>
      </w:r>
    </w:p>
    <w:p w14:paraId="2EFE23CD" w14:textId="77777777" w:rsidR="0009543C" w:rsidRDefault="0009543C" w:rsidP="00A10A95">
      <w:pPr>
        <w:tabs>
          <w:tab w:val="left" w:pos="288"/>
        </w:tabs>
        <w:spacing w:after="120"/>
        <w:ind w:firstLine="288"/>
      </w:pPr>
    </w:p>
    <w:p w14:paraId="693160E5" w14:textId="6E54CFA8" w:rsidR="00F51D89" w:rsidRDefault="00BC17DF" w:rsidP="00A10A95">
      <w:pPr>
        <w:tabs>
          <w:tab w:val="left" w:pos="288"/>
        </w:tabs>
        <w:spacing w:after="120"/>
        <w:ind w:firstLine="288"/>
      </w:pPr>
      <w:r>
        <w:rPr>
          <w:rStyle w:val="Emphasis"/>
          <w:rFonts w:eastAsiaTheme="majorEastAsia"/>
          <w:color w:val="000000" w:themeColor="text1"/>
        </w:rPr>
        <w:t>The author thanks Claude AI (Anthropic) for assistance in developing and refining the mathematical presentation.</w:t>
      </w:r>
    </w:p>
    <w:p w14:paraId="51EB8A98" w14:textId="77777777" w:rsidR="00F51D89" w:rsidRDefault="00F51D89" w:rsidP="00A10A95">
      <w:pPr>
        <w:tabs>
          <w:tab w:val="left" w:pos="288"/>
        </w:tabs>
        <w:spacing w:after="120"/>
        <w:ind w:firstLine="288"/>
      </w:pPr>
    </w:p>
    <w:p w14:paraId="2CC1C31E" w14:textId="77777777" w:rsidR="00F51D89" w:rsidRDefault="00F51D89" w:rsidP="00A10A95">
      <w:pPr>
        <w:tabs>
          <w:tab w:val="left" w:pos="288"/>
        </w:tabs>
        <w:spacing w:after="120"/>
        <w:ind w:firstLine="288"/>
      </w:pPr>
    </w:p>
    <w:p w14:paraId="47748CB7" w14:textId="77777777" w:rsidR="00BC17DF" w:rsidRDefault="00BC17DF" w:rsidP="00A10A95">
      <w:pPr>
        <w:tabs>
          <w:tab w:val="left" w:pos="288"/>
        </w:tabs>
        <w:spacing w:after="120"/>
        <w:ind w:firstLine="288"/>
      </w:pPr>
    </w:p>
    <w:p w14:paraId="0A78926F" w14:textId="77777777" w:rsidR="00BC17DF" w:rsidRDefault="00BC17DF" w:rsidP="00A10A95">
      <w:pPr>
        <w:tabs>
          <w:tab w:val="left" w:pos="288"/>
        </w:tabs>
        <w:spacing w:after="120"/>
        <w:ind w:firstLine="288"/>
      </w:pPr>
    </w:p>
    <w:p w14:paraId="7A30C9C7" w14:textId="77777777" w:rsidR="00BC17DF" w:rsidRDefault="00BC17DF" w:rsidP="00A10A95">
      <w:pPr>
        <w:tabs>
          <w:tab w:val="left" w:pos="288"/>
        </w:tabs>
        <w:spacing w:after="120"/>
        <w:ind w:firstLine="288"/>
      </w:pPr>
    </w:p>
    <w:p w14:paraId="41AC67F3" w14:textId="77777777" w:rsidR="00BC17DF" w:rsidRDefault="00BC17DF" w:rsidP="00A10A95">
      <w:pPr>
        <w:tabs>
          <w:tab w:val="left" w:pos="288"/>
        </w:tabs>
        <w:spacing w:after="120"/>
        <w:ind w:firstLine="288"/>
      </w:pPr>
    </w:p>
    <w:p w14:paraId="5B119F20" w14:textId="77777777" w:rsidR="007070AF" w:rsidRDefault="007070AF" w:rsidP="00A10A95">
      <w:pPr>
        <w:tabs>
          <w:tab w:val="left" w:pos="288"/>
        </w:tabs>
        <w:spacing w:after="120"/>
        <w:ind w:firstLine="288"/>
      </w:pPr>
    </w:p>
    <w:p w14:paraId="240EA6F6" w14:textId="77777777" w:rsidR="005F4EA2" w:rsidRDefault="005F4EA2" w:rsidP="00A10A95">
      <w:pPr>
        <w:tabs>
          <w:tab w:val="left" w:pos="288"/>
        </w:tabs>
        <w:spacing w:after="120"/>
        <w:ind w:firstLine="288"/>
      </w:pPr>
    </w:p>
    <w:p w14:paraId="53EA1BA1" w14:textId="77777777" w:rsidR="005F4EA2" w:rsidRDefault="005F4EA2" w:rsidP="00A10A95">
      <w:pPr>
        <w:tabs>
          <w:tab w:val="left" w:pos="288"/>
        </w:tabs>
        <w:spacing w:after="120"/>
        <w:ind w:firstLine="288"/>
      </w:pPr>
    </w:p>
    <w:p w14:paraId="52318F63" w14:textId="77777777" w:rsidR="005F4EA2" w:rsidRDefault="005F4EA2" w:rsidP="00A10A95">
      <w:pPr>
        <w:tabs>
          <w:tab w:val="left" w:pos="288"/>
        </w:tabs>
        <w:spacing w:after="120"/>
        <w:ind w:firstLine="288"/>
      </w:pPr>
    </w:p>
    <w:p w14:paraId="5F9F76CB" w14:textId="77777777" w:rsidR="005F4EA2" w:rsidRDefault="005F4EA2" w:rsidP="00A10A95">
      <w:pPr>
        <w:tabs>
          <w:tab w:val="left" w:pos="288"/>
        </w:tabs>
        <w:spacing w:after="120"/>
        <w:ind w:firstLine="288"/>
      </w:pPr>
    </w:p>
    <w:p w14:paraId="49D9BDF2" w14:textId="49A503A1" w:rsidR="00E0181D" w:rsidRPr="00E0181D" w:rsidRDefault="00E0181D" w:rsidP="00E0181D">
      <w:pPr>
        <w:pStyle w:val="Heading1"/>
        <w:numPr>
          <w:ilvl w:val="0"/>
          <w:numId w:val="45"/>
        </w:numPr>
        <w:tabs>
          <w:tab w:val="num" w:pos="180"/>
        </w:tabs>
        <w:spacing w:after="120"/>
      </w:pPr>
      <w:r>
        <w:t xml:space="preserve"> </w:t>
      </w:r>
      <w:r w:rsidRPr="00E0181D">
        <w:t>Appendix: Numerical Positioning</w:t>
      </w:r>
      <w:r w:rsidR="00D22CCA">
        <w:t xml:space="preserve"> and </w:t>
      </w:r>
      <w:r w:rsidRPr="00E0181D">
        <w:t>R-Frame Interpolation</w:t>
      </w:r>
    </w:p>
    <w:p w14:paraId="5272347B" w14:textId="77777777" w:rsidR="00E0181D" w:rsidRPr="00E0181D" w:rsidRDefault="00E0181D" w:rsidP="00E0181D">
      <w:pPr>
        <w:pStyle w:val="Heading2"/>
        <w:numPr>
          <w:ilvl w:val="0"/>
          <w:numId w:val="0"/>
        </w:numPr>
        <w:spacing w:after="120"/>
        <w:rPr>
          <w:rFonts w:eastAsia="Arial"/>
          <w:bCs/>
          <w:sz w:val="24"/>
          <w:szCs w:val="24"/>
        </w:rPr>
      </w:pPr>
      <w:r w:rsidRPr="00E0181D">
        <w:rPr>
          <w:rFonts w:eastAsia="Arial"/>
          <w:bCs/>
          <w:sz w:val="24"/>
          <w:szCs w:val="24"/>
        </w:rPr>
        <w:t>A. Example Trajectory</w:t>
      </w:r>
    </w:p>
    <w:p w14:paraId="02542509" w14:textId="410BF61B" w:rsidR="00E0181D" w:rsidRPr="00D22CCA" w:rsidRDefault="00E0181D" w:rsidP="00426219">
      <w:pPr>
        <w:tabs>
          <w:tab w:val="left" w:pos="288"/>
        </w:tabs>
        <w:spacing w:after="120"/>
        <w:ind w:firstLine="288"/>
      </w:pPr>
      <w:r w:rsidRPr="00BC3BE9">
        <w:t xml:space="preserve">The numerical example uses a lofted intercept trajectory with </w:t>
      </w:r>
      <w:r w:rsidR="00EF6931">
        <w:t>booster separation</w:t>
      </w:r>
      <w:r w:rsidRPr="00BC3BE9">
        <w:t xml:space="preserve"> conditions </w:t>
      </w:r>
      <m:oMath>
        <m:r>
          <w:rPr>
            <w:rFonts w:ascii="Cambria Math" w:hAnsi="Cambria Math"/>
          </w:rPr>
          <m:t>r₁</m:t>
        </m:r>
      </m:oMath>
      <w:r w:rsidRPr="00BC3BE9">
        <w:t xml:space="preserve">= 6,578 km (200 km altitude),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sidR="00D22CCA">
        <w:t xml:space="preserve"> </w:t>
      </w:r>
      <w:r w:rsidRPr="00BC3BE9">
        <w:t xml:space="preserve">= 7.20 km/s, and loft angle </w:t>
      </w:r>
      <w:r w:rsidRPr="00D22CCA">
        <w:rPr>
          <w:i/>
          <w:iCs/>
        </w:rPr>
        <w:t>γ</w:t>
      </w:r>
      <w:r w:rsidRPr="00BC3BE9">
        <w:t xml:space="preserve"> = 85°. These yield the orbital elements shown in Table A-1. The target is in a circular orbit at</w:t>
      </w:r>
      <w:r w:rsidR="00D22CCA">
        <w:t xml:space="preserve"> </w:t>
      </w:r>
      <m:oMath>
        <m:sSub>
          <m:sSubPr>
            <m:ctrlPr>
              <w:rPr>
                <w:rFonts w:ascii="Cambria Math" w:hAnsi="Cambria Math"/>
                <w:i/>
              </w:rPr>
            </m:ctrlPr>
          </m:sSubPr>
          <m:e>
            <m:r>
              <w:rPr>
                <w:rFonts w:ascii="Cambria Math" w:hAnsi="Cambria Math"/>
              </w:rPr>
              <m:t>r</m:t>
            </m:r>
          </m:e>
          <m:sub>
            <m:r>
              <w:rPr>
                <w:rFonts w:ascii="Cambria Math" w:hAnsi="Cambria Math"/>
              </w:rPr>
              <m:t>tgt</m:t>
            </m:r>
          </m:sub>
        </m:sSub>
      </m:oMath>
      <w:r w:rsidR="00D22CCA">
        <w:t xml:space="preserve"> </w:t>
      </w:r>
      <w:r w:rsidRPr="00BC3BE9">
        <w:t>= 9,025.8 km (altitude 2,647.8 km), representative of a lofted intercept trajectory in the class examined by Bate, Mueller, and White</w:t>
      </w:r>
      <w:r w:rsidR="00A97873">
        <w:t xml:space="preserve"> (pp 223-226)</w:t>
      </w:r>
      <w:r w:rsidRPr="00BC3BE9">
        <w:t xml:space="preserve"> [2]. Eccentricity </w:t>
      </w:r>
      <w:r w:rsidRPr="00D22CCA">
        <w:rPr>
          <w:i/>
          <w:iCs/>
        </w:rPr>
        <w:t>e</w:t>
      </w:r>
      <w:r w:rsidRPr="00BC3BE9">
        <w:t xml:space="preserve"> = 0.99627 places this orbit well into the high-eccentricity regime, where</w:t>
      </w:r>
      <w:r w:rsidR="00D22CCA">
        <w:t xml:space="preserve"> </w:t>
      </w:r>
      <m:oMath>
        <m:sSub>
          <m:sSubPr>
            <m:ctrlPr>
              <w:rPr>
                <w:rFonts w:ascii="Cambria Math" w:hAnsi="Cambria Math"/>
                <w:i/>
              </w:rPr>
            </m:ctrlPr>
          </m:sSubPr>
          <m:e>
            <m:r>
              <w:rPr>
                <w:rFonts w:ascii="Cambria Math" w:hAnsi="Cambria Math"/>
              </w:rPr>
              <m:t>λ</m:t>
            </m:r>
          </m:e>
          <m:sub>
            <m:r>
              <w:rPr>
                <w:rFonts w:ascii="Cambria Math" w:hAnsi="Cambria Math"/>
              </w:rPr>
              <m:t>max</m:t>
            </m:r>
          </m:sub>
        </m:sSub>
        <m:r>
          <w:rPr>
            <w:rFonts w:ascii="Cambria Math" w:hAnsi="Cambria Math"/>
          </w:rPr>
          <m:t>=</m:t>
        </m:r>
        <m:sSup>
          <m:sSupPr>
            <m:ctrlPr>
              <w:rPr>
                <w:rFonts w:ascii="Cambria Math" w:hAnsi="Cambria Math"/>
                <w:i/>
              </w:rPr>
            </m:ctrlPr>
          </m:sSupPr>
          <m:e>
            <m:r>
              <w:rPr>
                <w:rFonts w:ascii="Cambria Math" w:hAnsi="Cambria Math"/>
              </w:rPr>
              <m:t>tanh</m:t>
            </m:r>
          </m:e>
          <m:sup>
            <m:r>
              <w:rPr>
                <w:rFonts w:ascii="Cambria Math" w:hAnsi="Cambria Math"/>
              </w:rPr>
              <m:t>-1</m:t>
            </m:r>
          </m:sup>
        </m:sSup>
        <m:r>
          <w:rPr>
            <w:rFonts w:ascii="Cambria Math" w:hAnsi="Cambria Math"/>
          </w:rPr>
          <m:t>(e)</m:t>
        </m:r>
        <m:r>
          <m:rPr>
            <m:sty m:val="p"/>
          </m:rPr>
          <w:rPr>
            <w:rFonts w:ascii="Cambria Math" w:hAnsi="Cambria Math"/>
          </w:rPr>
          <m:t xml:space="preserve">≈ </m:t>
        </m:r>
        <m:r>
          <w:rPr>
            <w:rFonts w:ascii="Cambria Math" w:hAnsi="Cambria Math"/>
          </w:rPr>
          <m:t>π</m:t>
        </m:r>
      </m:oMath>
      <w:r w:rsidR="00D22CCA">
        <w:t xml:space="preserve"> </w:t>
      </w:r>
      <w:r w:rsidRPr="00BC3BE9">
        <w:t>as a coincidence of this trajectory rather than a general result.</w:t>
      </w:r>
    </w:p>
    <w:p w14:paraId="711D6F48" w14:textId="77777777" w:rsidR="00E0181D" w:rsidRDefault="00E0181D" w:rsidP="00426219">
      <w:pPr>
        <w:spacing w:before="240" w:after="120"/>
        <w:jc w:val="center"/>
        <w:rPr>
          <w:rFonts w:eastAsia="Arial"/>
          <w:b/>
          <w:bCs/>
          <w:sz w:val="22"/>
          <w:szCs w:val="22"/>
        </w:rPr>
      </w:pPr>
      <w:r w:rsidRPr="00E0181D">
        <w:rPr>
          <w:rFonts w:eastAsia="Arial"/>
          <w:b/>
          <w:bCs/>
          <w:sz w:val="22"/>
          <w:szCs w:val="22"/>
        </w:rPr>
        <w:t>Table A-1. Orbital elements for the 85° loft angle case.</w:t>
      </w:r>
    </w:p>
    <w:tbl>
      <w:tblPr>
        <w:tblStyle w:val="TableGrid"/>
        <w:tblW w:w="0" w:type="auto"/>
        <w:jc w:val="center"/>
        <w:tblLook w:val="04A0" w:firstRow="1" w:lastRow="0" w:firstColumn="1" w:lastColumn="0" w:noHBand="0" w:noVBand="1"/>
      </w:tblPr>
      <w:tblGrid>
        <w:gridCol w:w="2615"/>
        <w:gridCol w:w="1043"/>
        <w:gridCol w:w="2956"/>
      </w:tblGrid>
      <w:tr w:rsidR="002262D9" w14:paraId="10713FD4" w14:textId="77777777" w:rsidTr="00390543">
        <w:trPr>
          <w:trHeight w:hRule="exact" w:val="432"/>
          <w:jc w:val="center"/>
        </w:trPr>
        <w:tc>
          <w:tcPr>
            <w:tcW w:w="2615" w:type="dxa"/>
          </w:tcPr>
          <w:p w14:paraId="5916D0B9" w14:textId="690C85D1" w:rsidR="002262D9" w:rsidRDefault="002262D9" w:rsidP="002262D9">
            <w:pPr>
              <w:spacing w:before="120" w:after="120"/>
              <w:jc w:val="center"/>
              <w:rPr>
                <w:rFonts w:eastAsia="Arial"/>
                <w:b/>
                <w:bCs/>
                <w:sz w:val="22"/>
                <w:szCs w:val="22"/>
              </w:rPr>
            </w:pPr>
            <w:r w:rsidRPr="00BC3BE9">
              <w:rPr>
                <w:b/>
                <w:bCs/>
              </w:rPr>
              <w:t>Parameter</w:t>
            </w:r>
          </w:p>
        </w:tc>
        <w:tc>
          <w:tcPr>
            <w:tcW w:w="1043" w:type="dxa"/>
          </w:tcPr>
          <w:p w14:paraId="5B523E18" w14:textId="574EBE33" w:rsidR="002262D9" w:rsidRDefault="002262D9" w:rsidP="002262D9">
            <w:pPr>
              <w:spacing w:before="120" w:after="120"/>
              <w:jc w:val="center"/>
              <w:rPr>
                <w:rFonts w:eastAsia="Arial"/>
                <w:b/>
                <w:bCs/>
                <w:sz w:val="22"/>
                <w:szCs w:val="22"/>
              </w:rPr>
            </w:pPr>
            <w:r w:rsidRPr="00BC3BE9">
              <w:rPr>
                <w:b/>
                <w:bCs/>
              </w:rPr>
              <w:t>Symbol</w:t>
            </w:r>
          </w:p>
        </w:tc>
        <w:tc>
          <w:tcPr>
            <w:tcW w:w="2956" w:type="dxa"/>
          </w:tcPr>
          <w:p w14:paraId="7D250657" w14:textId="5510F58C" w:rsidR="002262D9" w:rsidRDefault="002262D9" w:rsidP="002262D9">
            <w:pPr>
              <w:spacing w:before="120" w:after="120"/>
              <w:jc w:val="center"/>
              <w:rPr>
                <w:rFonts w:eastAsia="Arial"/>
                <w:b/>
                <w:bCs/>
                <w:sz w:val="22"/>
                <w:szCs w:val="22"/>
              </w:rPr>
            </w:pPr>
            <w:r w:rsidRPr="00BC3BE9">
              <w:rPr>
                <w:b/>
                <w:bCs/>
              </w:rPr>
              <w:t>Value</w:t>
            </w:r>
          </w:p>
        </w:tc>
      </w:tr>
      <w:tr w:rsidR="002262D9" w14:paraId="2F69CC95" w14:textId="77777777" w:rsidTr="00390543">
        <w:trPr>
          <w:trHeight w:hRule="exact" w:val="432"/>
          <w:jc w:val="center"/>
        </w:trPr>
        <w:tc>
          <w:tcPr>
            <w:tcW w:w="2615" w:type="dxa"/>
          </w:tcPr>
          <w:p w14:paraId="63AA642E" w14:textId="1C9AC0DD" w:rsidR="002262D9" w:rsidRDefault="002262D9" w:rsidP="002262D9">
            <w:pPr>
              <w:spacing w:before="120" w:after="120"/>
              <w:rPr>
                <w:rFonts w:eastAsia="Arial"/>
                <w:b/>
                <w:bCs/>
                <w:sz w:val="22"/>
                <w:szCs w:val="22"/>
              </w:rPr>
            </w:pPr>
            <w:r w:rsidRPr="00BC3BE9">
              <w:t>Semi-major axis</w:t>
            </w:r>
          </w:p>
        </w:tc>
        <w:tc>
          <w:tcPr>
            <w:tcW w:w="1043" w:type="dxa"/>
            <w:vAlign w:val="center"/>
          </w:tcPr>
          <w:p w14:paraId="1AD23372" w14:textId="149583DC" w:rsidR="002262D9" w:rsidRDefault="002262D9" w:rsidP="00426219">
            <w:pPr>
              <w:spacing w:before="120" w:after="120"/>
              <w:jc w:val="center"/>
              <w:rPr>
                <w:rFonts w:eastAsia="Arial"/>
                <w:b/>
                <w:bCs/>
                <w:sz w:val="22"/>
                <w:szCs w:val="22"/>
              </w:rPr>
            </w:pPr>
            <w:r w:rsidRPr="00BC3BE9">
              <w:rPr>
                <w:i/>
                <w:iCs/>
              </w:rPr>
              <w:t>a</w:t>
            </w:r>
          </w:p>
        </w:tc>
        <w:tc>
          <w:tcPr>
            <w:tcW w:w="2956" w:type="dxa"/>
            <w:vAlign w:val="center"/>
          </w:tcPr>
          <w:p w14:paraId="0D0C6420" w14:textId="6415078D" w:rsidR="002262D9" w:rsidRDefault="002262D9" w:rsidP="002262D9">
            <w:pPr>
              <w:spacing w:before="120" w:after="120"/>
              <w:rPr>
                <w:rFonts w:eastAsia="Arial"/>
                <w:b/>
                <w:bCs/>
                <w:sz w:val="22"/>
                <w:szCs w:val="22"/>
              </w:rPr>
            </w:pPr>
            <w:r w:rsidRPr="00BC3BE9">
              <w:t>5,747 km</w:t>
            </w:r>
          </w:p>
        </w:tc>
      </w:tr>
      <w:tr w:rsidR="002262D9" w14:paraId="093FEBD3" w14:textId="77777777" w:rsidTr="00390543">
        <w:trPr>
          <w:trHeight w:hRule="exact" w:val="432"/>
          <w:jc w:val="center"/>
        </w:trPr>
        <w:tc>
          <w:tcPr>
            <w:tcW w:w="2615" w:type="dxa"/>
            <w:vAlign w:val="center"/>
          </w:tcPr>
          <w:p w14:paraId="08DA495F" w14:textId="39C07EE4" w:rsidR="002262D9" w:rsidRDefault="002262D9" w:rsidP="002262D9">
            <w:pPr>
              <w:spacing w:before="120" w:after="120"/>
              <w:rPr>
                <w:rFonts w:eastAsia="Arial"/>
                <w:b/>
                <w:bCs/>
                <w:sz w:val="22"/>
                <w:szCs w:val="22"/>
              </w:rPr>
            </w:pPr>
            <w:r w:rsidRPr="00BC3BE9">
              <w:t>Eccentricity</w:t>
            </w:r>
          </w:p>
        </w:tc>
        <w:tc>
          <w:tcPr>
            <w:tcW w:w="1043" w:type="dxa"/>
            <w:vAlign w:val="center"/>
          </w:tcPr>
          <w:p w14:paraId="393D81CD" w14:textId="46F05B46" w:rsidR="002262D9" w:rsidRDefault="002262D9" w:rsidP="00426219">
            <w:pPr>
              <w:spacing w:before="120" w:after="120"/>
              <w:jc w:val="center"/>
              <w:rPr>
                <w:rFonts w:eastAsia="Arial"/>
                <w:b/>
                <w:bCs/>
                <w:sz w:val="22"/>
                <w:szCs w:val="22"/>
              </w:rPr>
            </w:pPr>
            <w:r w:rsidRPr="00BC3BE9">
              <w:rPr>
                <w:i/>
                <w:iCs/>
              </w:rPr>
              <w:t>e</w:t>
            </w:r>
          </w:p>
        </w:tc>
        <w:tc>
          <w:tcPr>
            <w:tcW w:w="2956" w:type="dxa"/>
            <w:vAlign w:val="center"/>
          </w:tcPr>
          <w:p w14:paraId="07A96979" w14:textId="15CF9C65" w:rsidR="002262D9" w:rsidRDefault="002262D9" w:rsidP="002262D9">
            <w:pPr>
              <w:spacing w:before="120" w:after="120"/>
              <w:rPr>
                <w:rFonts w:eastAsia="Arial"/>
                <w:b/>
                <w:bCs/>
                <w:sz w:val="22"/>
                <w:szCs w:val="22"/>
              </w:rPr>
            </w:pPr>
            <w:r w:rsidRPr="00BC3BE9">
              <w:t>0.99627</w:t>
            </w:r>
          </w:p>
        </w:tc>
      </w:tr>
      <w:tr w:rsidR="002262D9" w14:paraId="4C341F1B" w14:textId="77777777" w:rsidTr="00390543">
        <w:trPr>
          <w:trHeight w:hRule="exact" w:val="432"/>
          <w:jc w:val="center"/>
        </w:trPr>
        <w:tc>
          <w:tcPr>
            <w:tcW w:w="2615" w:type="dxa"/>
            <w:vAlign w:val="center"/>
          </w:tcPr>
          <w:p w14:paraId="7446BF36" w14:textId="216C0D7D" w:rsidR="002262D9" w:rsidRDefault="002262D9" w:rsidP="002262D9">
            <w:pPr>
              <w:spacing w:before="120" w:after="120"/>
              <w:rPr>
                <w:rFonts w:eastAsia="Arial"/>
                <w:b/>
                <w:bCs/>
                <w:sz w:val="22"/>
                <w:szCs w:val="22"/>
              </w:rPr>
            </w:pPr>
            <w:r w:rsidRPr="00BC3BE9">
              <w:t>Apogee radius</w:t>
            </w:r>
          </w:p>
        </w:tc>
        <w:tc>
          <w:tcPr>
            <w:tcW w:w="1043" w:type="dxa"/>
            <w:vAlign w:val="center"/>
          </w:tcPr>
          <w:p w14:paraId="59227858" w14:textId="3F49BF4E" w:rsidR="002262D9" w:rsidRDefault="00000000" w:rsidP="00426219">
            <w:pPr>
              <w:spacing w:before="120" w:after="120"/>
              <w:jc w:val="center"/>
              <w:rPr>
                <w:rFonts w:eastAsia="Arial"/>
                <w:b/>
                <w:bCs/>
                <w:sz w:val="22"/>
                <w:szCs w:val="22"/>
              </w:rPr>
            </w:pPr>
            <m:oMathPara>
              <m:oMath>
                <m:sSub>
                  <m:sSubPr>
                    <m:ctrlPr>
                      <w:rPr>
                        <w:rFonts w:ascii="Cambria Math" w:hAnsi="Cambria Math"/>
                        <w:i/>
                      </w:rPr>
                    </m:ctrlPr>
                  </m:sSubPr>
                  <m:e>
                    <m:r>
                      <w:rPr>
                        <w:rFonts w:ascii="Cambria Math" w:hAnsi="Cambria Math"/>
                      </w:rPr>
                      <m:t>r</m:t>
                    </m:r>
                  </m:e>
                  <m:sub>
                    <m:r>
                      <w:rPr>
                        <w:rFonts w:ascii="Cambria Math" w:hAnsi="Cambria Math"/>
                      </w:rPr>
                      <m:t>A</m:t>
                    </m:r>
                  </m:sub>
                </m:sSub>
              </m:oMath>
            </m:oMathPara>
          </w:p>
        </w:tc>
        <w:tc>
          <w:tcPr>
            <w:tcW w:w="2956" w:type="dxa"/>
            <w:vAlign w:val="center"/>
          </w:tcPr>
          <w:p w14:paraId="1A6FC062" w14:textId="58AF7EF2" w:rsidR="002262D9" w:rsidRDefault="002262D9" w:rsidP="002262D9">
            <w:pPr>
              <w:spacing w:before="120" w:after="120"/>
              <w:rPr>
                <w:rFonts w:eastAsia="Arial"/>
                <w:b/>
                <w:bCs/>
                <w:sz w:val="22"/>
                <w:szCs w:val="22"/>
              </w:rPr>
            </w:pPr>
            <w:r w:rsidRPr="00BC3BE9">
              <w:t>11,474 km (5,096 km altitude)</w:t>
            </w:r>
          </w:p>
        </w:tc>
      </w:tr>
      <w:tr w:rsidR="002262D9" w14:paraId="3E356778" w14:textId="77777777" w:rsidTr="00390543">
        <w:trPr>
          <w:trHeight w:hRule="exact" w:val="432"/>
          <w:jc w:val="center"/>
        </w:trPr>
        <w:tc>
          <w:tcPr>
            <w:tcW w:w="2615" w:type="dxa"/>
            <w:vAlign w:val="center"/>
          </w:tcPr>
          <w:p w14:paraId="069A2ECC" w14:textId="525532BD" w:rsidR="002262D9" w:rsidRDefault="002262D9" w:rsidP="002262D9">
            <w:pPr>
              <w:spacing w:before="120" w:after="120"/>
              <w:rPr>
                <w:rFonts w:eastAsia="Arial"/>
                <w:b/>
                <w:bCs/>
                <w:sz w:val="22"/>
                <w:szCs w:val="22"/>
              </w:rPr>
            </w:pPr>
            <w:r w:rsidRPr="00BC3BE9">
              <w:t>Target radius</w:t>
            </w:r>
          </w:p>
        </w:tc>
        <w:tc>
          <w:tcPr>
            <w:tcW w:w="1043" w:type="dxa"/>
            <w:vAlign w:val="center"/>
          </w:tcPr>
          <w:p w14:paraId="6401EF5F" w14:textId="491611CB" w:rsidR="002262D9" w:rsidRDefault="00000000" w:rsidP="00426219">
            <w:pPr>
              <w:spacing w:before="120" w:after="120"/>
              <w:jc w:val="center"/>
              <w:rPr>
                <w:rFonts w:eastAsia="Arial"/>
                <w:b/>
                <w:bCs/>
                <w:sz w:val="22"/>
                <w:szCs w:val="22"/>
              </w:rPr>
            </w:pPr>
            <m:oMathPara>
              <m:oMath>
                <m:sSub>
                  <m:sSubPr>
                    <m:ctrlPr>
                      <w:rPr>
                        <w:rFonts w:ascii="Cambria Math" w:hAnsi="Cambria Math"/>
                        <w:i/>
                      </w:rPr>
                    </m:ctrlPr>
                  </m:sSubPr>
                  <m:e>
                    <m:r>
                      <w:rPr>
                        <w:rFonts w:ascii="Cambria Math" w:hAnsi="Cambria Math"/>
                      </w:rPr>
                      <m:t>r</m:t>
                    </m:r>
                  </m:e>
                  <m:sub>
                    <m:r>
                      <w:rPr>
                        <w:rFonts w:ascii="Cambria Math" w:hAnsi="Cambria Math"/>
                      </w:rPr>
                      <m:t>tgt</m:t>
                    </m:r>
                  </m:sub>
                </m:sSub>
              </m:oMath>
            </m:oMathPara>
          </w:p>
        </w:tc>
        <w:tc>
          <w:tcPr>
            <w:tcW w:w="2956" w:type="dxa"/>
            <w:vAlign w:val="center"/>
          </w:tcPr>
          <w:p w14:paraId="3948F03F" w14:textId="5FA5E2DA" w:rsidR="002262D9" w:rsidRDefault="002262D9" w:rsidP="002262D9">
            <w:pPr>
              <w:spacing w:before="120" w:after="120"/>
              <w:rPr>
                <w:rFonts w:eastAsia="Arial"/>
                <w:b/>
                <w:bCs/>
                <w:sz w:val="22"/>
                <w:szCs w:val="22"/>
              </w:rPr>
            </w:pPr>
            <w:r w:rsidRPr="00BC3BE9">
              <w:t>9,025.8 km (2,648 km altitude)</w:t>
            </w:r>
          </w:p>
        </w:tc>
      </w:tr>
      <w:tr w:rsidR="002262D9" w14:paraId="6B2620B7" w14:textId="77777777" w:rsidTr="00390543">
        <w:trPr>
          <w:trHeight w:hRule="exact" w:val="432"/>
          <w:jc w:val="center"/>
        </w:trPr>
        <w:tc>
          <w:tcPr>
            <w:tcW w:w="2615" w:type="dxa"/>
            <w:vAlign w:val="center"/>
          </w:tcPr>
          <w:p w14:paraId="21CF447B" w14:textId="725A7A11" w:rsidR="002262D9" w:rsidRDefault="002262D9" w:rsidP="002262D9">
            <w:pPr>
              <w:spacing w:before="120" w:after="120"/>
              <w:rPr>
                <w:rFonts w:eastAsia="Arial"/>
                <w:b/>
                <w:bCs/>
                <w:sz w:val="22"/>
                <w:szCs w:val="22"/>
              </w:rPr>
            </w:pPr>
            <w:r w:rsidRPr="00BC3BE9">
              <w:t>TOF, launch to target (exact)</w:t>
            </w:r>
          </w:p>
        </w:tc>
        <w:tc>
          <w:tcPr>
            <w:tcW w:w="1043" w:type="dxa"/>
            <w:vAlign w:val="center"/>
          </w:tcPr>
          <w:p w14:paraId="2782ED04" w14:textId="35C98564" w:rsidR="002262D9" w:rsidRDefault="00000000" w:rsidP="00426219">
            <w:pPr>
              <w:spacing w:before="120" w:after="120"/>
              <w:jc w:val="center"/>
              <w:rPr>
                <w:rFonts w:eastAsia="Arial"/>
                <w:b/>
                <w:bCs/>
                <w:sz w:val="22"/>
                <w:szCs w:val="22"/>
              </w:rPr>
            </w:pPr>
            <m:oMathPara>
              <m:oMath>
                <m:sSub>
                  <m:sSubPr>
                    <m:ctrlPr>
                      <w:rPr>
                        <w:rFonts w:ascii="Cambria Math" w:hAnsi="Cambria Math"/>
                        <w:i/>
                      </w:rPr>
                    </m:ctrlPr>
                  </m:sSubPr>
                  <m:e>
                    <m:r>
                      <w:rPr>
                        <w:rFonts w:ascii="Cambria Math" w:hAnsi="Cambria Math"/>
                      </w:rPr>
                      <m:t>t</m:t>
                    </m:r>
                  </m:e>
                  <m:sub>
                    <m:r>
                      <w:rPr>
                        <w:rFonts w:ascii="Cambria Math" w:hAnsi="Cambria Math"/>
                      </w:rPr>
                      <m:t>exact</m:t>
                    </m:r>
                  </m:sub>
                </m:sSub>
              </m:oMath>
            </m:oMathPara>
          </w:p>
        </w:tc>
        <w:tc>
          <w:tcPr>
            <w:tcW w:w="2956" w:type="dxa"/>
            <w:vAlign w:val="center"/>
          </w:tcPr>
          <w:p w14:paraId="64CB6D1F" w14:textId="79FCB655" w:rsidR="002262D9" w:rsidRDefault="002262D9" w:rsidP="002262D9">
            <w:pPr>
              <w:spacing w:before="120" w:after="120"/>
              <w:rPr>
                <w:rFonts w:eastAsia="Arial"/>
                <w:b/>
                <w:bCs/>
                <w:sz w:val="22"/>
                <w:szCs w:val="22"/>
              </w:rPr>
            </w:pPr>
            <w:r w:rsidRPr="00BC3BE9">
              <w:t>436.82 s</w:t>
            </w:r>
          </w:p>
        </w:tc>
      </w:tr>
    </w:tbl>
    <w:p w14:paraId="4446A98A" w14:textId="77777777" w:rsidR="00E0181D" w:rsidRPr="00BC3BE9" w:rsidRDefault="00E0181D" w:rsidP="00E0181D">
      <w:pPr>
        <w:spacing w:before="100" w:beforeAutospacing="1" w:after="100" w:afterAutospacing="1"/>
      </w:pPr>
      <w:r w:rsidRPr="00BC3BE9">
        <w:rPr>
          <w:b/>
          <w:bCs/>
        </w:rPr>
        <w:t>B. Results</w:t>
      </w:r>
    </w:p>
    <w:p w14:paraId="65E2EA46" w14:textId="0F20B7DD" w:rsidR="00E0181D" w:rsidRPr="00BC3BE9" w:rsidRDefault="00E0181D" w:rsidP="00426219">
      <w:pPr>
        <w:tabs>
          <w:tab w:val="left" w:pos="288"/>
        </w:tabs>
        <w:spacing w:after="120"/>
        <w:ind w:firstLine="288"/>
      </w:pPr>
      <w:r w:rsidRPr="00BC3BE9">
        <w:t xml:space="preserve">Two node-placement schemes are compared for interpolated time-of-flight (TOF) to the target. The Kepler scheme places eleven nodes at uniform time intervals from launch to apogee and locates </w:t>
      </w:r>
      <w:r w:rsidRPr="00BC3BE9">
        <w:rPr>
          <w:i/>
          <w:iCs/>
        </w:rPr>
        <w:t>r</w:t>
      </w:r>
      <w:r w:rsidRPr="00BC3BE9">
        <w:t xml:space="preserve"> at each by Newton–Raphson inversion of Kepler's equation. The </w:t>
      </w:r>
      <w:r w:rsidRPr="00BC3BE9">
        <w:rPr>
          <w:i/>
          <w:iCs/>
        </w:rPr>
        <w:t>R</w:t>
      </w:r>
      <w:r w:rsidRPr="00BC3BE9">
        <w:t xml:space="preserve">-frame scheme places eleven nodes at uniform intervals of slant radius </w:t>
      </w:r>
      <w:r w:rsidRPr="00BC3BE9">
        <w:rPr>
          <w:i/>
          <w:iCs/>
        </w:rPr>
        <w:t>R</w:t>
      </w:r>
      <w:r w:rsidRPr="00BC3BE9">
        <w:t xml:space="preserve">, recovering </w:t>
      </w:r>
      <w:r w:rsidRPr="00BC3BE9">
        <w:rPr>
          <w:i/>
          <w:iCs/>
        </w:rPr>
        <w:t>r</w:t>
      </w:r>
      <w:r w:rsidRPr="00BC3BE9">
        <w:t xml:space="preserve"> at each node directly from</w:t>
      </w:r>
      <w:r w:rsidR="001909EF">
        <w:t xml:space="preserve"> </w:t>
      </w:r>
      <m:oMath>
        <m:r>
          <w:rPr>
            <w:rFonts w:ascii="Cambria Math" w:hAnsi="Cambria Math"/>
            <w:sz w:val="18"/>
            <w:szCs w:val="18"/>
          </w:rPr>
          <m:t>r=</m:t>
        </m:r>
        <m:rad>
          <m:radPr>
            <m:degHide m:val="1"/>
            <m:ctrlPr>
              <w:rPr>
                <w:rFonts w:ascii="Cambria Math" w:hAnsi="Cambria Math"/>
                <w:i/>
                <w:sz w:val="18"/>
                <w:szCs w:val="18"/>
              </w:rPr>
            </m:ctrlPr>
          </m:radPr>
          <m:deg/>
          <m:e>
            <m:sSup>
              <m:sSupPr>
                <m:ctrlPr>
                  <w:rPr>
                    <w:rFonts w:ascii="Cambria Math" w:hAnsi="Cambria Math"/>
                    <w:i/>
                    <w:sz w:val="18"/>
                    <w:szCs w:val="18"/>
                  </w:rPr>
                </m:ctrlPr>
              </m:sSupPr>
              <m:e>
                <m:r>
                  <w:rPr>
                    <w:rFonts w:ascii="Cambria Math" w:hAnsi="Cambria Math"/>
                    <w:sz w:val="18"/>
                    <w:szCs w:val="18"/>
                  </w:rPr>
                  <m:t>R</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ap</m:t>
            </m:r>
          </m:e>
        </m:rad>
      </m:oMath>
      <w:r w:rsidR="001909EF">
        <w:t xml:space="preserve"> </w:t>
      </w:r>
      <w:r w:rsidRPr="00BC3BE9">
        <w:t xml:space="preserve"> with no iteration required. In both cases, TOF at the target is estimated by linear interpolation between the two bracketing nodes. Table A-2 gives the interpolated TOF at </w:t>
      </w:r>
      <w:r w:rsidR="001909EF" w:rsidRPr="001909EF">
        <w:rPr>
          <w:rFonts w:ascii="Cambria Math" w:hAnsi="Cambria Math"/>
          <w:i/>
        </w:rPr>
        <w:br/>
      </w:r>
      <m:oMath>
        <m:sSub>
          <m:sSubPr>
            <m:ctrlPr>
              <w:rPr>
                <w:rFonts w:ascii="Cambria Math" w:hAnsi="Cambria Math"/>
                <w:i/>
              </w:rPr>
            </m:ctrlPr>
          </m:sSubPr>
          <m:e>
            <m:r>
              <w:rPr>
                <w:rFonts w:ascii="Cambria Math" w:hAnsi="Cambria Math"/>
              </w:rPr>
              <m:t>r</m:t>
            </m:r>
          </m:e>
          <m:sub>
            <m:r>
              <w:rPr>
                <w:rFonts w:ascii="Cambria Math" w:hAnsi="Cambria Math"/>
              </w:rPr>
              <m:t>tgt</m:t>
            </m:r>
          </m:sub>
        </m:sSub>
      </m:oMath>
      <w:r w:rsidRPr="00BC3BE9">
        <w:t xml:space="preserve"> for both schemes.</w:t>
      </w:r>
    </w:p>
    <w:p w14:paraId="6E8D2623" w14:textId="77777777" w:rsidR="00426219" w:rsidRDefault="00426219" w:rsidP="00426219">
      <w:pPr>
        <w:spacing w:after="120"/>
        <w:jc w:val="center"/>
        <w:rPr>
          <w:rFonts w:eastAsia="Arial"/>
          <w:b/>
          <w:bCs/>
          <w:sz w:val="22"/>
          <w:szCs w:val="22"/>
        </w:rPr>
      </w:pPr>
      <w:r w:rsidRPr="00E0181D">
        <w:rPr>
          <w:rFonts w:eastAsia="Arial"/>
          <w:b/>
          <w:bCs/>
          <w:sz w:val="22"/>
          <w:szCs w:val="22"/>
        </w:rPr>
        <w:t>Table A-2. TOF at target radius: interpolation comparison.</w:t>
      </w:r>
    </w:p>
    <w:tbl>
      <w:tblPr>
        <w:tblStyle w:val="TableGrid"/>
        <w:tblW w:w="0" w:type="auto"/>
        <w:jc w:val="center"/>
        <w:tblLook w:val="04A0" w:firstRow="1" w:lastRow="0" w:firstColumn="1" w:lastColumn="0" w:noHBand="0" w:noVBand="1"/>
      </w:tblPr>
      <w:tblGrid>
        <w:gridCol w:w="3070"/>
        <w:gridCol w:w="2060"/>
        <w:gridCol w:w="1975"/>
      </w:tblGrid>
      <w:tr w:rsidR="00426219" w14:paraId="06BBCF18" w14:textId="77777777" w:rsidTr="00390543">
        <w:trPr>
          <w:trHeight w:hRule="exact" w:val="432"/>
          <w:jc w:val="center"/>
        </w:trPr>
        <w:tc>
          <w:tcPr>
            <w:tcW w:w="3070" w:type="dxa"/>
          </w:tcPr>
          <w:p w14:paraId="600D3A33" w14:textId="3F0B6F7E" w:rsidR="00426219" w:rsidRDefault="00426219" w:rsidP="00426219">
            <w:pPr>
              <w:spacing w:before="120" w:after="120"/>
              <w:jc w:val="center"/>
              <w:rPr>
                <w:rFonts w:eastAsia="Arial"/>
                <w:b/>
                <w:bCs/>
                <w:sz w:val="22"/>
                <w:szCs w:val="22"/>
              </w:rPr>
            </w:pPr>
            <w:r w:rsidRPr="00BC3BE9">
              <w:rPr>
                <w:b/>
                <w:bCs/>
              </w:rPr>
              <w:t>Method</w:t>
            </w:r>
          </w:p>
        </w:tc>
        <w:tc>
          <w:tcPr>
            <w:tcW w:w="2060" w:type="dxa"/>
          </w:tcPr>
          <w:p w14:paraId="767EA4BE" w14:textId="0CC4FDE4" w:rsidR="00426219" w:rsidRDefault="00426219" w:rsidP="00426219">
            <w:pPr>
              <w:spacing w:before="120" w:after="120"/>
              <w:jc w:val="center"/>
              <w:rPr>
                <w:rFonts w:eastAsia="Arial"/>
                <w:b/>
                <w:bCs/>
                <w:sz w:val="22"/>
                <w:szCs w:val="22"/>
              </w:rPr>
            </w:pPr>
            <w:r w:rsidRPr="00BC3BE9">
              <w:rPr>
                <w:b/>
                <w:bCs/>
              </w:rPr>
              <w:t>Interpolated TOF (s)</w:t>
            </w:r>
          </w:p>
        </w:tc>
        <w:tc>
          <w:tcPr>
            <w:tcW w:w="1975" w:type="dxa"/>
            <w:vAlign w:val="center"/>
          </w:tcPr>
          <w:p w14:paraId="738314A4" w14:textId="26A2AE10" w:rsidR="00426219" w:rsidRDefault="00426219" w:rsidP="00426219">
            <w:pPr>
              <w:spacing w:before="120" w:after="120"/>
              <w:jc w:val="center"/>
              <w:rPr>
                <w:rFonts w:eastAsia="Arial"/>
                <w:b/>
                <w:bCs/>
                <w:sz w:val="22"/>
                <w:szCs w:val="22"/>
              </w:rPr>
            </w:pPr>
            <w:r w:rsidRPr="00BC3BE9">
              <w:rPr>
                <w:b/>
                <w:bCs/>
              </w:rPr>
              <w:t>Error vs. exact (s)</w:t>
            </w:r>
          </w:p>
        </w:tc>
      </w:tr>
      <w:tr w:rsidR="00426219" w14:paraId="52F16A1E" w14:textId="77777777" w:rsidTr="00390543">
        <w:trPr>
          <w:trHeight w:hRule="exact" w:val="432"/>
          <w:jc w:val="center"/>
        </w:trPr>
        <w:tc>
          <w:tcPr>
            <w:tcW w:w="3070" w:type="dxa"/>
            <w:vAlign w:val="center"/>
          </w:tcPr>
          <w:p w14:paraId="6E047467" w14:textId="3862641A" w:rsidR="00426219" w:rsidRDefault="00426219" w:rsidP="00426219">
            <w:pPr>
              <w:spacing w:before="120" w:after="120"/>
              <w:rPr>
                <w:rFonts w:eastAsia="Arial"/>
                <w:b/>
                <w:bCs/>
                <w:sz w:val="22"/>
                <w:szCs w:val="22"/>
              </w:rPr>
            </w:pPr>
            <w:r w:rsidRPr="00BC3BE9">
              <w:t>Exact Kepler (reference)</w:t>
            </w:r>
          </w:p>
        </w:tc>
        <w:tc>
          <w:tcPr>
            <w:tcW w:w="2060" w:type="dxa"/>
            <w:vAlign w:val="center"/>
          </w:tcPr>
          <w:p w14:paraId="3BF28576" w14:textId="09B98316" w:rsidR="00426219" w:rsidRDefault="00426219" w:rsidP="00426219">
            <w:pPr>
              <w:spacing w:before="120" w:after="120"/>
              <w:jc w:val="center"/>
              <w:rPr>
                <w:rFonts w:eastAsia="Arial"/>
                <w:b/>
                <w:bCs/>
                <w:sz w:val="22"/>
                <w:szCs w:val="22"/>
              </w:rPr>
            </w:pPr>
            <w:r w:rsidRPr="00BC3BE9">
              <w:t>436.820</w:t>
            </w:r>
          </w:p>
        </w:tc>
        <w:tc>
          <w:tcPr>
            <w:tcW w:w="1975" w:type="dxa"/>
            <w:vAlign w:val="center"/>
          </w:tcPr>
          <w:p w14:paraId="61F6C506" w14:textId="2CB06C0E" w:rsidR="00426219" w:rsidRDefault="00426219" w:rsidP="00426219">
            <w:pPr>
              <w:spacing w:before="120" w:after="120"/>
              <w:jc w:val="center"/>
              <w:rPr>
                <w:rFonts w:eastAsia="Arial"/>
                <w:b/>
                <w:bCs/>
                <w:sz w:val="22"/>
                <w:szCs w:val="22"/>
              </w:rPr>
            </w:pPr>
            <w:r w:rsidRPr="00BC3BE9">
              <w:t>—</w:t>
            </w:r>
          </w:p>
        </w:tc>
      </w:tr>
      <w:tr w:rsidR="00426219" w14:paraId="368A4B78" w14:textId="77777777" w:rsidTr="00390543">
        <w:trPr>
          <w:trHeight w:hRule="exact" w:val="432"/>
          <w:jc w:val="center"/>
        </w:trPr>
        <w:tc>
          <w:tcPr>
            <w:tcW w:w="3070" w:type="dxa"/>
            <w:vAlign w:val="center"/>
          </w:tcPr>
          <w:p w14:paraId="1280F32B" w14:textId="6FF7FC12" w:rsidR="00426219" w:rsidRDefault="00426219" w:rsidP="00426219">
            <w:pPr>
              <w:spacing w:before="120" w:after="120"/>
              <w:rPr>
                <w:rFonts w:eastAsia="Arial"/>
                <w:b/>
                <w:bCs/>
                <w:sz w:val="22"/>
                <w:szCs w:val="22"/>
              </w:rPr>
            </w:pPr>
            <w:r w:rsidRPr="00BC3BE9">
              <w:rPr>
                <w:i/>
                <w:iCs/>
              </w:rPr>
              <w:t>R</w:t>
            </w:r>
            <w:r w:rsidRPr="00BC3BE9">
              <w:t>-frame interpolation</w:t>
            </w:r>
          </w:p>
        </w:tc>
        <w:tc>
          <w:tcPr>
            <w:tcW w:w="2060" w:type="dxa"/>
            <w:vAlign w:val="center"/>
          </w:tcPr>
          <w:p w14:paraId="77FD6C2B" w14:textId="248092C5" w:rsidR="00426219" w:rsidRDefault="00426219" w:rsidP="00426219">
            <w:pPr>
              <w:spacing w:before="120" w:after="120"/>
              <w:jc w:val="center"/>
              <w:rPr>
                <w:rFonts w:eastAsia="Arial"/>
                <w:b/>
                <w:bCs/>
                <w:sz w:val="22"/>
                <w:szCs w:val="22"/>
              </w:rPr>
            </w:pPr>
            <w:r w:rsidRPr="00BC3BE9">
              <w:t>434.677</w:t>
            </w:r>
          </w:p>
        </w:tc>
        <w:tc>
          <w:tcPr>
            <w:tcW w:w="1975" w:type="dxa"/>
            <w:vAlign w:val="center"/>
          </w:tcPr>
          <w:p w14:paraId="502BACA0" w14:textId="0E6412F5" w:rsidR="00426219" w:rsidRDefault="00426219" w:rsidP="00426219">
            <w:pPr>
              <w:spacing w:before="120" w:after="120"/>
              <w:jc w:val="center"/>
              <w:rPr>
                <w:rFonts w:eastAsia="Arial"/>
                <w:b/>
                <w:bCs/>
                <w:sz w:val="22"/>
                <w:szCs w:val="22"/>
              </w:rPr>
            </w:pPr>
            <w:r w:rsidRPr="00BC3BE9">
              <w:t>−2.143</w:t>
            </w:r>
          </w:p>
        </w:tc>
      </w:tr>
      <w:tr w:rsidR="00426219" w14:paraId="621C5E14" w14:textId="77777777" w:rsidTr="00390543">
        <w:trPr>
          <w:trHeight w:hRule="exact" w:val="432"/>
          <w:jc w:val="center"/>
        </w:trPr>
        <w:tc>
          <w:tcPr>
            <w:tcW w:w="3070" w:type="dxa"/>
            <w:vAlign w:val="center"/>
          </w:tcPr>
          <w:p w14:paraId="727E1029" w14:textId="4526E67F" w:rsidR="00426219" w:rsidRDefault="00426219" w:rsidP="00426219">
            <w:pPr>
              <w:spacing w:before="120" w:after="120"/>
              <w:rPr>
                <w:rFonts w:eastAsia="Arial"/>
                <w:b/>
                <w:bCs/>
                <w:sz w:val="22"/>
                <w:szCs w:val="22"/>
              </w:rPr>
            </w:pPr>
            <w:r w:rsidRPr="00BC3BE9">
              <w:t>Kepler uniform-time interpolation</w:t>
            </w:r>
          </w:p>
        </w:tc>
        <w:tc>
          <w:tcPr>
            <w:tcW w:w="2060" w:type="dxa"/>
            <w:vAlign w:val="center"/>
          </w:tcPr>
          <w:p w14:paraId="693EDF5E" w14:textId="41D9C02F" w:rsidR="00426219" w:rsidRDefault="00426219" w:rsidP="00426219">
            <w:pPr>
              <w:spacing w:before="120" w:after="120"/>
              <w:jc w:val="center"/>
              <w:rPr>
                <w:rFonts w:eastAsia="Arial"/>
                <w:b/>
                <w:bCs/>
                <w:sz w:val="22"/>
                <w:szCs w:val="22"/>
              </w:rPr>
            </w:pPr>
            <w:r w:rsidRPr="00BC3BE9">
              <w:t>447.953</w:t>
            </w:r>
          </w:p>
        </w:tc>
        <w:tc>
          <w:tcPr>
            <w:tcW w:w="1975" w:type="dxa"/>
            <w:vAlign w:val="center"/>
          </w:tcPr>
          <w:p w14:paraId="2C0BF756" w14:textId="70C160CA" w:rsidR="00426219" w:rsidRDefault="00426219" w:rsidP="00426219">
            <w:pPr>
              <w:spacing w:before="120" w:after="120"/>
              <w:jc w:val="center"/>
              <w:rPr>
                <w:rFonts w:eastAsia="Arial"/>
                <w:b/>
                <w:bCs/>
                <w:sz w:val="22"/>
                <w:szCs w:val="22"/>
              </w:rPr>
            </w:pPr>
            <w:r w:rsidRPr="00BC3BE9">
              <w:t>+11.133</w:t>
            </w:r>
          </w:p>
        </w:tc>
      </w:tr>
    </w:tbl>
    <w:p w14:paraId="23BAC03F" w14:textId="41D49D13" w:rsidR="00E0181D" w:rsidRPr="00BC3BE9" w:rsidRDefault="00E0181D" w:rsidP="00390543">
      <w:pPr>
        <w:tabs>
          <w:tab w:val="left" w:pos="288"/>
        </w:tabs>
        <w:spacing w:before="240" w:after="120"/>
        <w:ind w:firstLine="288"/>
      </w:pPr>
      <w:r w:rsidRPr="00BC3BE9">
        <w:t xml:space="preserve">The Kepler interpolation error is more than five times larger than the </w:t>
      </w:r>
      <w:r w:rsidRPr="00BC3BE9">
        <w:rPr>
          <w:i/>
          <w:iCs/>
        </w:rPr>
        <w:t>R</w:t>
      </w:r>
      <w:r w:rsidRPr="00BC3BE9">
        <w:t xml:space="preserve">-frame error, a direct consequence of the uneven Kepler node spacing: uniform time steps cluster nodes near apogee, where the satellite moves slowly, leaving a 739 km gap in </w:t>
      </w:r>
      <w:r w:rsidRPr="00BC3BE9">
        <w:rPr>
          <w:i/>
          <w:iCs/>
        </w:rPr>
        <w:t>r</w:t>
      </w:r>
      <w:r w:rsidRPr="00BC3BE9">
        <w:t xml:space="preserve"> across the lower arc where the target falls. At the target's circular velocity of 6.65 km/s, the 13.3 s difference between the two interpolated TOFs corresponds to an along-track discrepancy of roughly 88 km</w:t>
      </w:r>
      <w:r w:rsidR="001909EF">
        <w:t>,</w:t>
      </w:r>
      <w:r w:rsidRPr="00BC3BE9">
        <w:t xml:space="preserve"> an upper bound on the range error attributable to node-placement choice alone, and operationally significant for an intercept problem.</w:t>
      </w:r>
    </w:p>
    <w:p w14:paraId="4E6DF67F" w14:textId="595312E9" w:rsidR="00E0181D" w:rsidRDefault="00E0181D" w:rsidP="001909EF">
      <w:pPr>
        <w:tabs>
          <w:tab w:val="left" w:pos="288"/>
        </w:tabs>
        <w:spacing w:after="120"/>
        <w:ind w:firstLine="288"/>
      </w:pPr>
      <w:r w:rsidRPr="00BC3BE9">
        <w:t xml:space="preserve">This is a structural result, not an artifact of parameter tuning. Because </w:t>
      </w:r>
      <w:r w:rsidRPr="00BC3BE9">
        <w:rPr>
          <w:i/>
          <w:iCs/>
        </w:rPr>
        <w:t>R</w:t>
      </w:r>
      <w:r w:rsidRPr="00BC3BE9">
        <w:t xml:space="preserve">² = </w:t>
      </w:r>
      <w:r w:rsidRPr="00BC3BE9">
        <w:rPr>
          <w:i/>
          <w:iCs/>
        </w:rPr>
        <w:t>r</w:t>
      </w:r>
      <w:r w:rsidRPr="00BC3BE9">
        <w:t xml:space="preserve">² + </w:t>
      </w:r>
      <w:r w:rsidRPr="00BC3BE9">
        <w:rPr>
          <w:i/>
          <w:iCs/>
        </w:rPr>
        <w:t>ap</w:t>
      </w:r>
      <w:r w:rsidRPr="00BC3BE9">
        <w:t xml:space="preserve">, uniform spacing in </w:t>
      </w:r>
      <w:r w:rsidRPr="00BC3BE9">
        <w:rPr>
          <w:i/>
          <w:iCs/>
        </w:rPr>
        <w:t>R</w:t>
      </w:r>
      <w:r w:rsidRPr="00BC3BE9">
        <w:t xml:space="preserve"> automatically produces finer spacing in </w:t>
      </w:r>
      <w:proofErr w:type="spellStart"/>
      <w:r w:rsidRPr="00BC3BE9">
        <w:rPr>
          <w:i/>
          <w:iCs/>
        </w:rPr>
        <w:t>r</w:t>
      </w:r>
      <w:proofErr w:type="spellEnd"/>
      <w:r w:rsidRPr="00BC3BE9">
        <w:t xml:space="preserve"> </w:t>
      </w:r>
      <w:r w:rsidR="00F45F6A">
        <w:t xml:space="preserve">wherever the trajectory is steep and near-radial.  It is in the orbit segment where r is still small and changing rapidly, and where high-eccentricity geometry creates the widest Kepler time steps. In the example shown here, that error falls within this steep, near-radial segment rather than being spread evenly across the trajectory. </w:t>
      </w:r>
      <w:r w:rsidRPr="00BC3BE9">
        <w:t xml:space="preserve">The </w:t>
      </w:r>
      <w:r w:rsidRPr="000A6CC5">
        <w:t>R</w:t>
      </w:r>
      <w:r w:rsidRPr="00BC3BE9">
        <w:t>-frame nodes are also computed without iteration (</w:t>
      </w:r>
      <w:r w:rsidRPr="000A6CC5">
        <w:rPr>
          <w:i/>
          <w:iCs/>
        </w:rPr>
        <w:t>r</w:t>
      </w:r>
      <w:r w:rsidRPr="00BC3BE9">
        <w:t xml:space="preserve"> → </w:t>
      </w:r>
      <w:r w:rsidRPr="00BC3BE9">
        <w:rPr>
          <w:i/>
          <w:iCs/>
        </w:rPr>
        <w:t>E</w:t>
      </w:r>
      <w:r w:rsidRPr="00BC3BE9">
        <w:t xml:space="preserve"> → </w:t>
      </w:r>
      <w:r w:rsidRPr="00BC3BE9">
        <w:rPr>
          <w:i/>
          <w:iCs/>
        </w:rPr>
        <w:t>t</w:t>
      </w:r>
      <w:r w:rsidRPr="00BC3BE9">
        <w:t>), making the scheme simultaneously more accurate at this target altitude and computationally simpler than the Kepler approach.</w:t>
      </w:r>
    </w:p>
    <w:p w14:paraId="6B963628" w14:textId="77777777" w:rsidR="00E0181D" w:rsidRPr="00BC3BE9" w:rsidRDefault="00E0181D" w:rsidP="000A6CC5">
      <w:pPr>
        <w:tabs>
          <w:tab w:val="left" w:pos="288"/>
        </w:tabs>
        <w:spacing w:after="120"/>
        <w:ind w:firstLine="288"/>
      </w:pPr>
      <w:r w:rsidRPr="00BC3BE9">
        <w:t xml:space="preserve">The advantage persists across loft angle. Table A-3 gives the interpolation error for both methods across five loft angles from </w:t>
      </w:r>
      <w:r w:rsidRPr="001909EF">
        <w:rPr>
          <w:i/>
          <w:iCs/>
        </w:rPr>
        <w:t>γ</w:t>
      </w:r>
      <w:r w:rsidRPr="00BC3BE9">
        <w:t xml:space="preserve"> = 70° to </w:t>
      </w:r>
      <w:r w:rsidRPr="001909EF">
        <w:rPr>
          <w:i/>
          <w:iCs/>
        </w:rPr>
        <w:t>γ</w:t>
      </w:r>
      <w:r w:rsidRPr="00BC3BE9">
        <w:t xml:space="preserve"> = 90° (</w:t>
      </w:r>
      <w:r w:rsidRPr="001909EF">
        <w:rPr>
          <w:i/>
          <w:iCs/>
        </w:rPr>
        <w:t>e</w:t>
      </w:r>
      <w:r w:rsidRPr="00BC3BE9">
        <w:t xml:space="preserve"> = 0.941 to </w:t>
      </w:r>
      <w:r w:rsidRPr="001909EF">
        <w:rPr>
          <w:i/>
          <w:iCs/>
        </w:rPr>
        <w:t>e</w:t>
      </w:r>
      <w:r w:rsidRPr="00BC3BE9">
        <w:t xml:space="preserve"> = 1), shown in Fig. A-1. The Kepler error grows monotonically with eccentricity, from 1,835 </w:t>
      </w:r>
      <w:proofErr w:type="spellStart"/>
      <w:r w:rsidRPr="00BC3BE9">
        <w:t>ms</w:t>
      </w:r>
      <w:proofErr w:type="spellEnd"/>
      <w:r w:rsidRPr="00BC3BE9">
        <w:t xml:space="preserve"> to 3,793 </w:t>
      </w:r>
      <w:proofErr w:type="spellStart"/>
      <w:r w:rsidRPr="00BC3BE9">
        <w:t>ms</w:t>
      </w:r>
      <w:proofErr w:type="spellEnd"/>
      <w:r w:rsidRPr="00BC3BE9">
        <w:t xml:space="preserve">, while the </w:t>
      </w:r>
      <w:r w:rsidRPr="00BC3BE9">
        <w:rPr>
          <w:i/>
          <w:iCs/>
        </w:rPr>
        <w:t>R</w:t>
      </w:r>
      <w:r w:rsidRPr="00BC3BE9">
        <w:t xml:space="preserve">-method error is non-monotone, falling to a minimum of 34 </w:t>
      </w:r>
      <w:proofErr w:type="spellStart"/>
      <w:r w:rsidRPr="00BC3BE9">
        <w:t>ms</w:t>
      </w:r>
      <w:proofErr w:type="spellEnd"/>
      <w:r w:rsidRPr="00BC3BE9">
        <w:t xml:space="preserve"> at </w:t>
      </w:r>
      <w:r w:rsidRPr="001909EF">
        <w:rPr>
          <w:i/>
          <w:iCs/>
        </w:rPr>
        <w:t>γ</w:t>
      </w:r>
      <w:r w:rsidRPr="00BC3BE9">
        <w:t xml:space="preserve"> = 80° before rising to 452 </w:t>
      </w:r>
      <w:proofErr w:type="spellStart"/>
      <w:r w:rsidRPr="00BC3BE9">
        <w:t>ms</w:t>
      </w:r>
      <w:proofErr w:type="spellEnd"/>
      <w:r w:rsidRPr="00BC3BE9">
        <w:t xml:space="preserve"> at </w:t>
      </w:r>
      <w:r w:rsidRPr="001909EF">
        <w:rPr>
          <w:i/>
          <w:iCs/>
        </w:rPr>
        <w:t>γ</w:t>
      </w:r>
      <w:r w:rsidRPr="00BC3BE9">
        <w:t xml:space="preserve"> = 90°. At </w:t>
      </w:r>
      <w:r w:rsidRPr="001909EF">
        <w:rPr>
          <w:i/>
          <w:iCs/>
        </w:rPr>
        <w:t>γ</w:t>
      </w:r>
      <w:r w:rsidRPr="00BC3BE9">
        <w:t xml:space="preserve"> = 90° the orbit is rectilinear (</w:t>
      </w:r>
      <w:r w:rsidRPr="00683AA2">
        <w:rPr>
          <w:i/>
          <w:iCs/>
        </w:rPr>
        <w:t>e</w:t>
      </w:r>
      <w:r w:rsidRPr="00BC3BE9">
        <w:t xml:space="preserve"> = 1, </w:t>
      </w:r>
      <w:r w:rsidRPr="00BC3BE9">
        <w:rPr>
          <w:i/>
          <w:iCs/>
        </w:rPr>
        <w:t>ap</w:t>
      </w:r>
      <w:r w:rsidRPr="00BC3BE9">
        <w:t xml:space="preserve"> = 0), where the </w:t>
      </w:r>
      <w:r w:rsidRPr="00BC3BE9">
        <w:rPr>
          <w:i/>
          <w:iCs/>
        </w:rPr>
        <w:t>R</w:t>
      </w:r>
      <w:r w:rsidRPr="00BC3BE9">
        <w:t xml:space="preserve">-method reduces to uniform steps in </w:t>
      </w:r>
      <w:r w:rsidRPr="00BC3BE9">
        <w:rPr>
          <w:i/>
          <w:iCs/>
        </w:rPr>
        <w:t>r</w:t>
      </w:r>
      <w:r w:rsidRPr="00BC3BE9">
        <w:t xml:space="preserve"> and the two schemes converge in character — confirming that the </w:t>
      </w:r>
      <w:r w:rsidRPr="00BC3BE9">
        <w:rPr>
          <w:i/>
          <w:iCs/>
        </w:rPr>
        <w:t>R</w:t>
      </w:r>
      <w:r w:rsidRPr="00BC3BE9">
        <w:t>-frame formulation degrades smoothly to the classical result in this limiting case.</w:t>
      </w:r>
    </w:p>
    <w:p w14:paraId="7177C36E" w14:textId="4DFC464B" w:rsidR="001909EF" w:rsidRPr="00562D38" w:rsidRDefault="001909EF" w:rsidP="009C5A22">
      <w:pPr>
        <w:spacing w:after="120"/>
        <w:jc w:val="center"/>
        <w:rPr>
          <w:rFonts w:eastAsia="Arial"/>
          <w:b/>
          <w:bCs/>
          <w:sz w:val="22"/>
          <w:szCs w:val="22"/>
        </w:rPr>
      </w:pPr>
      <w:r w:rsidRPr="00B040A0">
        <w:rPr>
          <w:rFonts w:eastAsia="Arial"/>
          <w:b/>
          <w:bCs/>
          <w:sz w:val="22"/>
          <w:szCs w:val="22"/>
        </w:rPr>
        <w:t xml:space="preserve">Table A-3. TOF interpolation error comparison across loft angles </w:t>
      </w:r>
      <w:r w:rsidRPr="00562D38">
        <w:rPr>
          <w:rFonts w:eastAsia="Arial"/>
          <w:b/>
          <w:bCs/>
          <w:sz w:val="22"/>
          <w:szCs w:val="22"/>
        </w:rPr>
        <w:t xml:space="preserve">(N = 10 nodes, </w:t>
      </w:r>
      <m:oMath>
        <m:sSub>
          <m:sSubPr>
            <m:ctrlPr>
              <w:rPr>
                <w:rFonts w:ascii="Cambria Math" w:eastAsia="Arial" w:hAnsi="Cambria Math"/>
                <w:b/>
                <w:bCs/>
                <w:sz w:val="22"/>
                <w:szCs w:val="22"/>
              </w:rPr>
            </m:ctrlPr>
          </m:sSubPr>
          <m:e>
            <m:r>
              <m:rPr>
                <m:sty m:val="bi"/>
              </m:rPr>
              <w:rPr>
                <w:rFonts w:ascii="Cambria Math" w:eastAsia="Arial" w:hAnsi="Cambria Math"/>
                <w:sz w:val="22"/>
                <w:szCs w:val="22"/>
              </w:rPr>
              <m:t>r</m:t>
            </m:r>
          </m:e>
          <m:sub>
            <m:r>
              <m:rPr>
                <m:sty m:val="bi"/>
              </m:rPr>
              <w:rPr>
                <w:rFonts w:ascii="Cambria Math" w:eastAsia="Arial" w:hAnsi="Cambria Math"/>
                <w:sz w:val="22"/>
                <w:szCs w:val="22"/>
              </w:rPr>
              <m:t>tgt</m:t>
            </m:r>
          </m:sub>
        </m:sSub>
      </m:oMath>
      <w:r w:rsidRPr="00562D38">
        <w:rPr>
          <w:rFonts w:eastAsia="Arial"/>
          <w:b/>
          <w:bCs/>
          <w:sz w:val="22"/>
          <w:szCs w:val="22"/>
        </w:rPr>
        <w:t xml:space="preserve"> = 9,000 km)</w:t>
      </w:r>
    </w:p>
    <w:tbl>
      <w:tblPr>
        <w:tblStyle w:val="TableGrid"/>
        <w:tblW w:w="0" w:type="auto"/>
        <w:jc w:val="center"/>
        <w:tblLook w:val="04A0" w:firstRow="1" w:lastRow="0" w:firstColumn="1" w:lastColumn="0" w:noHBand="0" w:noVBand="1"/>
      </w:tblPr>
      <w:tblGrid>
        <w:gridCol w:w="805"/>
        <w:gridCol w:w="1170"/>
        <w:gridCol w:w="1710"/>
        <w:gridCol w:w="2070"/>
        <w:gridCol w:w="2049"/>
      </w:tblGrid>
      <w:tr w:rsidR="00683AA2" w14:paraId="17AB6930" w14:textId="108A4E87" w:rsidTr="00390543">
        <w:trPr>
          <w:trHeight w:hRule="exact" w:val="432"/>
          <w:jc w:val="center"/>
        </w:trPr>
        <w:tc>
          <w:tcPr>
            <w:tcW w:w="805" w:type="dxa"/>
          </w:tcPr>
          <w:p w14:paraId="041DFBF4" w14:textId="374D1BF6" w:rsidR="00683AA2" w:rsidRPr="00683AA2" w:rsidRDefault="00683AA2" w:rsidP="00683AA2">
            <w:pPr>
              <w:spacing w:before="120" w:after="120"/>
              <w:jc w:val="center"/>
              <w:rPr>
                <w:rFonts w:eastAsia="Arial"/>
                <w:b/>
                <w:bCs/>
                <w:sz w:val="22"/>
                <w:szCs w:val="22"/>
              </w:rPr>
            </w:pPr>
            <w:r w:rsidRPr="00683AA2">
              <w:rPr>
                <w:b/>
                <w:bCs/>
                <w:i/>
                <w:iCs/>
                <w:sz w:val="22"/>
                <w:szCs w:val="22"/>
              </w:rPr>
              <w:t>γ</w:t>
            </w:r>
          </w:p>
        </w:tc>
        <w:tc>
          <w:tcPr>
            <w:tcW w:w="1170" w:type="dxa"/>
          </w:tcPr>
          <w:p w14:paraId="0D577B83" w14:textId="0F6AE22C" w:rsidR="00683AA2" w:rsidRPr="00932A7E" w:rsidRDefault="00683AA2" w:rsidP="00683AA2">
            <w:pPr>
              <w:spacing w:before="120" w:after="120"/>
              <w:jc w:val="center"/>
              <w:rPr>
                <w:rFonts w:eastAsia="Arial"/>
                <w:b/>
                <w:bCs/>
                <w:i/>
                <w:iCs/>
                <w:sz w:val="22"/>
                <w:szCs w:val="22"/>
              </w:rPr>
            </w:pPr>
            <w:r w:rsidRPr="00932A7E">
              <w:rPr>
                <w:b/>
                <w:bCs/>
                <w:i/>
                <w:iCs/>
                <w:sz w:val="22"/>
                <w:szCs w:val="22"/>
              </w:rPr>
              <w:t>e</w:t>
            </w:r>
          </w:p>
        </w:tc>
        <w:tc>
          <w:tcPr>
            <w:tcW w:w="1710" w:type="dxa"/>
            <w:vAlign w:val="center"/>
          </w:tcPr>
          <w:p w14:paraId="702A0915" w14:textId="6C4C6632" w:rsidR="00683AA2" w:rsidRPr="00683AA2" w:rsidRDefault="00683AA2" w:rsidP="00683AA2">
            <w:pPr>
              <w:spacing w:before="120" w:after="120"/>
              <w:jc w:val="center"/>
              <w:rPr>
                <w:rFonts w:eastAsia="Arial"/>
                <w:b/>
                <w:bCs/>
                <w:sz w:val="22"/>
                <w:szCs w:val="22"/>
              </w:rPr>
            </w:pPr>
            <w:r w:rsidRPr="00683AA2">
              <w:rPr>
                <w:b/>
                <w:bCs/>
              </w:rPr>
              <w:t>Exact TOF (s)</w:t>
            </w:r>
          </w:p>
        </w:tc>
        <w:tc>
          <w:tcPr>
            <w:tcW w:w="2070" w:type="dxa"/>
            <w:vAlign w:val="center"/>
          </w:tcPr>
          <w:p w14:paraId="24F351B5" w14:textId="61176466" w:rsidR="00683AA2" w:rsidRPr="00683AA2" w:rsidRDefault="00683AA2" w:rsidP="00683AA2">
            <w:pPr>
              <w:spacing w:before="120" w:after="120"/>
              <w:jc w:val="center"/>
              <w:rPr>
                <w:b/>
                <w:bCs/>
              </w:rPr>
            </w:pPr>
            <w:r w:rsidRPr="00683AA2">
              <w:rPr>
                <w:b/>
                <w:bCs/>
              </w:rPr>
              <w:t>Kepler Error (</w:t>
            </w:r>
            <w:proofErr w:type="spellStart"/>
            <w:r w:rsidRPr="00683AA2">
              <w:rPr>
                <w:b/>
                <w:bCs/>
              </w:rPr>
              <w:t>ms</w:t>
            </w:r>
            <w:proofErr w:type="spellEnd"/>
            <w:r w:rsidRPr="00683AA2">
              <w:rPr>
                <w:b/>
                <w:bCs/>
              </w:rPr>
              <w:t>)</w:t>
            </w:r>
          </w:p>
        </w:tc>
        <w:tc>
          <w:tcPr>
            <w:tcW w:w="2049" w:type="dxa"/>
            <w:vAlign w:val="center"/>
          </w:tcPr>
          <w:p w14:paraId="25925D3B" w14:textId="1ECDBEFC" w:rsidR="00683AA2" w:rsidRPr="00683AA2" w:rsidRDefault="00683AA2" w:rsidP="00683AA2">
            <w:pPr>
              <w:spacing w:before="120" w:after="120"/>
              <w:jc w:val="center"/>
              <w:rPr>
                <w:b/>
                <w:bCs/>
              </w:rPr>
            </w:pPr>
            <w:r w:rsidRPr="00683AA2">
              <w:rPr>
                <w:b/>
                <w:bCs/>
              </w:rPr>
              <w:t>R-method Error (</w:t>
            </w:r>
            <w:proofErr w:type="spellStart"/>
            <w:r w:rsidRPr="00683AA2">
              <w:rPr>
                <w:b/>
                <w:bCs/>
              </w:rPr>
              <w:t>ms</w:t>
            </w:r>
            <w:proofErr w:type="spellEnd"/>
            <w:r w:rsidRPr="00683AA2">
              <w:rPr>
                <w:b/>
                <w:bCs/>
              </w:rPr>
              <w:t>)</w:t>
            </w:r>
          </w:p>
        </w:tc>
      </w:tr>
      <w:tr w:rsidR="00683AA2" w14:paraId="19DC07AE" w14:textId="168B9DE3" w:rsidTr="00390543">
        <w:trPr>
          <w:trHeight w:hRule="exact" w:val="432"/>
          <w:jc w:val="center"/>
        </w:trPr>
        <w:tc>
          <w:tcPr>
            <w:tcW w:w="805" w:type="dxa"/>
            <w:vAlign w:val="center"/>
          </w:tcPr>
          <w:p w14:paraId="25EF01F9" w14:textId="384DFD02" w:rsidR="00683AA2" w:rsidRDefault="00683AA2" w:rsidP="00683AA2">
            <w:pPr>
              <w:spacing w:before="120" w:after="120"/>
              <w:jc w:val="center"/>
              <w:rPr>
                <w:rFonts w:eastAsia="Arial"/>
                <w:b/>
                <w:bCs/>
                <w:sz w:val="22"/>
                <w:szCs w:val="22"/>
              </w:rPr>
            </w:pPr>
            <w:r w:rsidRPr="00BC3BE9">
              <w:t>70°</w:t>
            </w:r>
          </w:p>
        </w:tc>
        <w:tc>
          <w:tcPr>
            <w:tcW w:w="1170" w:type="dxa"/>
            <w:vAlign w:val="center"/>
          </w:tcPr>
          <w:p w14:paraId="5D2B7563" w14:textId="4148940C" w:rsidR="00683AA2" w:rsidRDefault="00683AA2" w:rsidP="00683AA2">
            <w:pPr>
              <w:spacing w:before="120" w:after="120"/>
              <w:jc w:val="center"/>
              <w:rPr>
                <w:rFonts w:eastAsia="Arial"/>
                <w:b/>
                <w:bCs/>
                <w:sz w:val="22"/>
                <w:szCs w:val="22"/>
              </w:rPr>
            </w:pPr>
            <w:r w:rsidRPr="00BC3BE9">
              <w:t>0.941</w:t>
            </w:r>
          </w:p>
        </w:tc>
        <w:tc>
          <w:tcPr>
            <w:tcW w:w="1710" w:type="dxa"/>
            <w:vAlign w:val="center"/>
          </w:tcPr>
          <w:p w14:paraId="67433F30" w14:textId="6FDD8FF7" w:rsidR="00683AA2" w:rsidRDefault="00683AA2" w:rsidP="00683AA2">
            <w:pPr>
              <w:spacing w:before="120" w:after="120"/>
              <w:jc w:val="center"/>
              <w:rPr>
                <w:rFonts w:eastAsia="Arial"/>
                <w:b/>
                <w:bCs/>
                <w:sz w:val="22"/>
                <w:szCs w:val="22"/>
              </w:rPr>
            </w:pPr>
            <w:r w:rsidRPr="00BC3BE9">
              <w:t>461.773</w:t>
            </w:r>
          </w:p>
        </w:tc>
        <w:tc>
          <w:tcPr>
            <w:tcW w:w="2070" w:type="dxa"/>
            <w:vAlign w:val="center"/>
          </w:tcPr>
          <w:p w14:paraId="0534D33A" w14:textId="2A7A2CEE" w:rsidR="00683AA2" w:rsidRPr="00BC3BE9" w:rsidRDefault="00683AA2" w:rsidP="00683AA2">
            <w:pPr>
              <w:spacing w:before="120" w:after="120"/>
              <w:jc w:val="center"/>
            </w:pPr>
            <w:r w:rsidRPr="00BC3BE9">
              <w:t>1,835</w:t>
            </w:r>
          </w:p>
        </w:tc>
        <w:tc>
          <w:tcPr>
            <w:tcW w:w="2049" w:type="dxa"/>
            <w:vAlign w:val="center"/>
          </w:tcPr>
          <w:p w14:paraId="56980FAB" w14:textId="0D4232D8" w:rsidR="00683AA2" w:rsidRPr="00BC3BE9" w:rsidRDefault="00683AA2" w:rsidP="00683AA2">
            <w:pPr>
              <w:spacing w:before="120" w:after="120"/>
              <w:jc w:val="center"/>
            </w:pPr>
            <w:r w:rsidRPr="00BC3BE9">
              <w:t>1,506</w:t>
            </w:r>
          </w:p>
        </w:tc>
      </w:tr>
      <w:tr w:rsidR="00683AA2" w14:paraId="151D99C1" w14:textId="1E50B9C9" w:rsidTr="00390543">
        <w:trPr>
          <w:trHeight w:hRule="exact" w:val="432"/>
          <w:jc w:val="center"/>
        </w:trPr>
        <w:tc>
          <w:tcPr>
            <w:tcW w:w="805" w:type="dxa"/>
            <w:vAlign w:val="center"/>
          </w:tcPr>
          <w:p w14:paraId="291F5FA0" w14:textId="6FDF7058" w:rsidR="00683AA2" w:rsidRDefault="00683AA2" w:rsidP="00683AA2">
            <w:pPr>
              <w:spacing w:before="120" w:after="120"/>
              <w:jc w:val="center"/>
              <w:rPr>
                <w:rFonts w:eastAsia="Arial"/>
                <w:b/>
                <w:bCs/>
                <w:sz w:val="22"/>
                <w:szCs w:val="22"/>
              </w:rPr>
            </w:pPr>
            <w:r w:rsidRPr="00BC3BE9">
              <w:t>75°</w:t>
            </w:r>
          </w:p>
        </w:tc>
        <w:tc>
          <w:tcPr>
            <w:tcW w:w="1170" w:type="dxa"/>
            <w:vAlign w:val="center"/>
          </w:tcPr>
          <w:p w14:paraId="33A4468E" w14:textId="5E7C0182" w:rsidR="00683AA2" w:rsidRDefault="00683AA2" w:rsidP="00683AA2">
            <w:pPr>
              <w:spacing w:before="120" w:after="120"/>
              <w:jc w:val="center"/>
              <w:rPr>
                <w:rFonts w:eastAsia="Arial"/>
                <w:b/>
                <w:bCs/>
                <w:sz w:val="22"/>
                <w:szCs w:val="22"/>
              </w:rPr>
            </w:pPr>
            <w:r w:rsidRPr="00BC3BE9">
              <w:t>0.967</w:t>
            </w:r>
          </w:p>
        </w:tc>
        <w:tc>
          <w:tcPr>
            <w:tcW w:w="1710" w:type="dxa"/>
            <w:vAlign w:val="center"/>
          </w:tcPr>
          <w:p w14:paraId="40338FBA" w14:textId="008709E3" w:rsidR="00683AA2" w:rsidRDefault="00683AA2" w:rsidP="00683AA2">
            <w:pPr>
              <w:spacing w:before="120" w:after="120"/>
              <w:jc w:val="center"/>
              <w:rPr>
                <w:rFonts w:eastAsia="Arial"/>
                <w:b/>
                <w:bCs/>
                <w:sz w:val="22"/>
                <w:szCs w:val="22"/>
              </w:rPr>
            </w:pPr>
            <w:r w:rsidRPr="00BC3BE9">
              <w:t>446.847</w:t>
            </w:r>
          </w:p>
        </w:tc>
        <w:tc>
          <w:tcPr>
            <w:tcW w:w="2070" w:type="dxa"/>
            <w:vAlign w:val="center"/>
          </w:tcPr>
          <w:p w14:paraId="19F4107D" w14:textId="2C1A6B66" w:rsidR="00683AA2" w:rsidRPr="00BC3BE9" w:rsidRDefault="00683AA2" w:rsidP="00683AA2">
            <w:pPr>
              <w:spacing w:before="120" w:after="120"/>
              <w:jc w:val="center"/>
            </w:pPr>
            <w:r w:rsidRPr="00BC3BE9">
              <w:t>2,985</w:t>
            </w:r>
          </w:p>
        </w:tc>
        <w:tc>
          <w:tcPr>
            <w:tcW w:w="2049" w:type="dxa"/>
            <w:vAlign w:val="center"/>
          </w:tcPr>
          <w:p w14:paraId="4329554A" w14:textId="3FA546E2" w:rsidR="00683AA2" w:rsidRPr="00BC3BE9" w:rsidRDefault="00683AA2" w:rsidP="00683AA2">
            <w:pPr>
              <w:spacing w:before="120" w:after="120"/>
              <w:jc w:val="center"/>
            </w:pPr>
            <w:r w:rsidRPr="00BC3BE9">
              <w:t>747</w:t>
            </w:r>
          </w:p>
        </w:tc>
      </w:tr>
      <w:tr w:rsidR="00683AA2" w14:paraId="751AD48A" w14:textId="2B3F316A" w:rsidTr="00390543">
        <w:trPr>
          <w:trHeight w:hRule="exact" w:val="432"/>
          <w:jc w:val="center"/>
        </w:trPr>
        <w:tc>
          <w:tcPr>
            <w:tcW w:w="805" w:type="dxa"/>
            <w:vAlign w:val="center"/>
          </w:tcPr>
          <w:p w14:paraId="2BA04A05" w14:textId="301E2908" w:rsidR="00683AA2" w:rsidRDefault="00683AA2" w:rsidP="00683AA2">
            <w:pPr>
              <w:spacing w:before="120" w:after="120"/>
              <w:jc w:val="center"/>
              <w:rPr>
                <w:rFonts w:eastAsia="Arial"/>
                <w:b/>
                <w:bCs/>
                <w:sz w:val="22"/>
                <w:szCs w:val="22"/>
              </w:rPr>
            </w:pPr>
            <w:r w:rsidRPr="00BC3BE9">
              <w:t>80°</w:t>
            </w:r>
          </w:p>
        </w:tc>
        <w:tc>
          <w:tcPr>
            <w:tcW w:w="1170" w:type="dxa"/>
            <w:vAlign w:val="center"/>
          </w:tcPr>
          <w:p w14:paraId="3F44718A" w14:textId="41AD97FF" w:rsidR="00683AA2" w:rsidRDefault="00683AA2" w:rsidP="00683AA2">
            <w:pPr>
              <w:spacing w:before="120" w:after="120"/>
              <w:jc w:val="center"/>
              <w:rPr>
                <w:rFonts w:eastAsia="Arial"/>
                <w:b/>
                <w:bCs/>
                <w:sz w:val="22"/>
                <w:szCs w:val="22"/>
              </w:rPr>
            </w:pPr>
            <w:r w:rsidRPr="00BC3BE9">
              <w:t>0.985</w:t>
            </w:r>
          </w:p>
        </w:tc>
        <w:tc>
          <w:tcPr>
            <w:tcW w:w="1710" w:type="dxa"/>
            <w:vAlign w:val="center"/>
          </w:tcPr>
          <w:p w14:paraId="3FC49F2A" w14:textId="3C71A190" w:rsidR="00683AA2" w:rsidRDefault="00683AA2" w:rsidP="00683AA2">
            <w:pPr>
              <w:spacing w:before="120" w:after="120"/>
              <w:jc w:val="center"/>
              <w:rPr>
                <w:rFonts w:eastAsia="Arial"/>
                <w:b/>
                <w:bCs/>
                <w:sz w:val="22"/>
                <w:szCs w:val="22"/>
              </w:rPr>
            </w:pPr>
            <w:r w:rsidRPr="00BC3BE9">
              <w:t>436.742</w:t>
            </w:r>
          </w:p>
        </w:tc>
        <w:tc>
          <w:tcPr>
            <w:tcW w:w="2070" w:type="dxa"/>
            <w:vAlign w:val="center"/>
          </w:tcPr>
          <w:p w14:paraId="32577AA9" w14:textId="0C96DFBB" w:rsidR="00683AA2" w:rsidRPr="00BC3BE9" w:rsidRDefault="00683AA2" w:rsidP="00683AA2">
            <w:pPr>
              <w:spacing w:before="120" w:after="120"/>
              <w:jc w:val="center"/>
            </w:pPr>
            <w:r w:rsidRPr="00BC3BE9">
              <w:t>3,519</w:t>
            </w:r>
          </w:p>
        </w:tc>
        <w:tc>
          <w:tcPr>
            <w:tcW w:w="2049" w:type="dxa"/>
            <w:vAlign w:val="center"/>
          </w:tcPr>
          <w:p w14:paraId="6109865A" w14:textId="429D31B4" w:rsidR="00683AA2" w:rsidRPr="00BC3BE9" w:rsidRDefault="00683AA2" w:rsidP="00683AA2">
            <w:pPr>
              <w:spacing w:before="120" w:after="120"/>
              <w:jc w:val="center"/>
            </w:pPr>
            <w:r w:rsidRPr="00BC3BE9">
              <w:t>34</w:t>
            </w:r>
          </w:p>
        </w:tc>
      </w:tr>
      <w:tr w:rsidR="00683AA2" w14:paraId="2298B0B1" w14:textId="0F1E0A99" w:rsidTr="00390543">
        <w:trPr>
          <w:trHeight w:hRule="exact" w:val="432"/>
          <w:jc w:val="center"/>
        </w:trPr>
        <w:tc>
          <w:tcPr>
            <w:tcW w:w="805" w:type="dxa"/>
            <w:vAlign w:val="center"/>
          </w:tcPr>
          <w:p w14:paraId="21589A83" w14:textId="23339548" w:rsidR="00683AA2" w:rsidRDefault="00683AA2" w:rsidP="00683AA2">
            <w:pPr>
              <w:spacing w:before="120" w:after="120"/>
              <w:jc w:val="center"/>
              <w:rPr>
                <w:rFonts w:eastAsia="Arial"/>
                <w:b/>
                <w:bCs/>
                <w:sz w:val="22"/>
                <w:szCs w:val="22"/>
              </w:rPr>
            </w:pPr>
            <w:r w:rsidRPr="00BC3BE9">
              <w:t>85°</w:t>
            </w:r>
          </w:p>
        </w:tc>
        <w:tc>
          <w:tcPr>
            <w:tcW w:w="1170" w:type="dxa"/>
            <w:vAlign w:val="center"/>
          </w:tcPr>
          <w:p w14:paraId="5F2C481D" w14:textId="7536E8F4" w:rsidR="00683AA2" w:rsidRDefault="00683AA2" w:rsidP="00683AA2">
            <w:pPr>
              <w:spacing w:before="120" w:after="120"/>
              <w:jc w:val="center"/>
              <w:rPr>
                <w:rFonts w:eastAsia="Arial"/>
                <w:b/>
                <w:bCs/>
                <w:sz w:val="22"/>
                <w:szCs w:val="22"/>
              </w:rPr>
            </w:pPr>
            <w:r w:rsidRPr="00BC3BE9">
              <w:t>0.996</w:t>
            </w:r>
          </w:p>
        </w:tc>
        <w:tc>
          <w:tcPr>
            <w:tcW w:w="1710" w:type="dxa"/>
            <w:vAlign w:val="center"/>
          </w:tcPr>
          <w:p w14:paraId="40D7670A" w14:textId="0867E697" w:rsidR="00683AA2" w:rsidRDefault="00683AA2" w:rsidP="00683AA2">
            <w:pPr>
              <w:spacing w:before="120" w:after="120"/>
              <w:jc w:val="center"/>
              <w:rPr>
                <w:rFonts w:eastAsia="Arial"/>
                <w:b/>
                <w:bCs/>
                <w:sz w:val="22"/>
                <w:szCs w:val="22"/>
              </w:rPr>
            </w:pPr>
            <w:r w:rsidRPr="00BC3BE9">
              <w:t>430.886</w:t>
            </w:r>
          </w:p>
        </w:tc>
        <w:tc>
          <w:tcPr>
            <w:tcW w:w="2070" w:type="dxa"/>
            <w:vAlign w:val="center"/>
          </w:tcPr>
          <w:p w14:paraId="0E895B0A" w14:textId="1311BAD7" w:rsidR="00683AA2" w:rsidRPr="00BC3BE9" w:rsidRDefault="00683AA2" w:rsidP="00683AA2">
            <w:pPr>
              <w:spacing w:before="120" w:after="120"/>
              <w:jc w:val="center"/>
            </w:pPr>
            <w:r w:rsidRPr="00BC3BE9">
              <w:t>3,674</w:t>
            </w:r>
          </w:p>
        </w:tc>
        <w:tc>
          <w:tcPr>
            <w:tcW w:w="2049" w:type="dxa"/>
            <w:vAlign w:val="center"/>
          </w:tcPr>
          <w:p w14:paraId="46763EBD" w14:textId="2388ABEC" w:rsidR="00683AA2" w:rsidRPr="00BC3BE9" w:rsidRDefault="00683AA2" w:rsidP="00683AA2">
            <w:pPr>
              <w:spacing w:before="120" w:after="120"/>
              <w:jc w:val="center"/>
            </w:pPr>
            <w:r w:rsidRPr="00BC3BE9">
              <w:t>341</w:t>
            </w:r>
          </w:p>
        </w:tc>
      </w:tr>
      <w:tr w:rsidR="00683AA2" w14:paraId="23DB4B12" w14:textId="740083C7" w:rsidTr="00390543">
        <w:trPr>
          <w:trHeight w:hRule="exact" w:val="432"/>
          <w:jc w:val="center"/>
        </w:trPr>
        <w:tc>
          <w:tcPr>
            <w:tcW w:w="805" w:type="dxa"/>
            <w:vAlign w:val="center"/>
          </w:tcPr>
          <w:p w14:paraId="56BF49C5" w14:textId="57AA65C0" w:rsidR="00683AA2" w:rsidRDefault="00683AA2" w:rsidP="00683AA2">
            <w:pPr>
              <w:spacing w:before="120" w:after="120"/>
              <w:jc w:val="center"/>
              <w:rPr>
                <w:rFonts w:eastAsia="Arial"/>
                <w:b/>
                <w:bCs/>
                <w:sz w:val="22"/>
                <w:szCs w:val="22"/>
              </w:rPr>
            </w:pPr>
            <w:r w:rsidRPr="00BC3BE9">
              <w:t>90°</w:t>
            </w:r>
          </w:p>
        </w:tc>
        <w:tc>
          <w:tcPr>
            <w:tcW w:w="1170" w:type="dxa"/>
            <w:vAlign w:val="center"/>
          </w:tcPr>
          <w:p w14:paraId="037DF1BF" w14:textId="7F09FE33" w:rsidR="00683AA2" w:rsidRDefault="00683AA2" w:rsidP="00683AA2">
            <w:pPr>
              <w:spacing w:before="120" w:after="120"/>
              <w:jc w:val="center"/>
              <w:rPr>
                <w:rFonts w:eastAsia="Arial"/>
                <w:b/>
                <w:bCs/>
                <w:sz w:val="22"/>
                <w:szCs w:val="22"/>
              </w:rPr>
            </w:pPr>
            <w:r w:rsidRPr="00BC3BE9">
              <w:t>1.000</w:t>
            </w:r>
          </w:p>
        </w:tc>
        <w:tc>
          <w:tcPr>
            <w:tcW w:w="1710" w:type="dxa"/>
            <w:vAlign w:val="center"/>
          </w:tcPr>
          <w:p w14:paraId="11AFE470" w14:textId="1C083CBA" w:rsidR="00683AA2" w:rsidRDefault="00683AA2" w:rsidP="00683AA2">
            <w:pPr>
              <w:spacing w:before="120" w:after="120"/>
              <w:jc w:val="center"/>
              <w:rPr>
                <w:rFonts w:eastAsia="Arial"/>
                <w:b/>
                <w:bCs/>
                <w:sz w:val="22"/>
                <w:szCs w:val="22"/>
              </w:rPr>
            </w:pPr>
            <w:r w:rsidRPr="00BC3BE9">
              <w:t>428.967</w:t>
            </w:r>
          </w:p>
        </w:tc>
        <w:tc>
          <w:tcPr>
            <w:tcW w:w="2070" w:type="dxa"/>
            <w:vAlign w:val="center"/>
          </w:tcPr>
          <w:p w14:paraId="52CC4D06" w14:textId="2A397C89" w:rsidR="00683AA2" w:rsidRPr="00BC3BE9" w:rsidRDefault="00683AA2" w:rsidP="00683AA2">
            <w:pPr>
              <w:spacing w:before="120" w:after="120"/>
              <w:jc w:val="center"/>
            </w:pPr>
            <w:r w:rsidRPr="00BC3BE9">
              <w:t>3,793</w:t>
            </w:r>
          </w:p>
        </w:tc>
        <w:tc>
          <w:tcPr>
            <w:tcW w:w="2049" w:type="dxa"/>
            <w:vAlign w:val="center"/>
          </w:tcPr>
          <w:p w14:paraId="02B3B008" w14:textId="4D3834EE" w:rsidR="00683AA2" w:rsidRPr="00BC3BE9" w:rsidRDefault="00683AA2" w:rsidP="00683AA2">
            <w:pPr>
              <w:spacing w:before="120" w:after="120"/>
              <w:jc w:val="center"/>
            </w:pPr>
            <w:r w:rsidRPr="00BC3BE9">
              <w:t>452</w:t>
            </w:r>
          </w:p>
        </w:tc>
      </w:tr>
    </w:tbl>
    <w:p w14:paraId="5C64A140" w14:textId="77777777" w:rsidR="001909EF" w:rsidRDefault="001909EF" w:rsidP="00E0181D">
      <w:pPr>
        <w:spacing w:before="100" w:beforeAutospacing="1" w:after="100" w:afterAutospacing="1"/>
        <w:rPr>
          <w:rFonts w:eastAsia="Arial"/>
          <w:b/>
          <w:bCs/>
          <w:sz w:val="22"/>
          <w:szCs w:val="22"/>
        </w:rPr>
      </w:pPr>
    </w:p>
    <w:p w14:paraId="46DFEC17" w14:textId="77777777" w:rsidR="001909EF" w:rsidRDefault="001909EF" w:rsidP="001909EF">
      <w:pPr>
        <w:spacing w:before="100" w:after="100"/>
        <w:jc w:val="center"/>
        <w:rPr>
          <w:b/>
          <w:bCs/>
        </w:rPr>
      </w:pPr>
      <w:r>
        <w:rPr>
          <w:noProof/>
        </w:rPr>
        <w:drawing>
          <wp:inline distT="0" distB="0" distL="0" distR="0" wp14:anchorId="52DFA4FF" wp14:editId="0259CD2C">
            <wp:extent cx="4029584" cy="2710036"/>
            <wp:effectExtent l="0" t="0" r="0" b="0"/>
            <wp:docPr id="156933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74272" name=""/>
                    <pic:cNvPicPr/>
                  </pic:nvPicPr>
                  <pic:blipFill>
                    <a:blip r:embed="rId47"/>
                    <a:stretch>
                      <a:fillRect/>
                    </a:stretch>
                  </pic:blipFill>
                  <pic:spPr>
                    <a:xfrm>
                      <a:off x="0" y="0"/>
                      <a:ext cx="4078103" cy="2742667"/>
                    </a:xfrm>
                    <a:prstGeom prst="rect">
                      <a:avLst/>
                    </a:prstGeom>
                  </pic:spPr>
                </pic:pic>
              </a:graphicData>
            </a:graphic>
          </wp:inline>
        </w:drawing>
      </w:r>
    </w:p>
    <w:p w14:paraId="2BDF012D" w14:textId="2E928AB4" w:rsidR="00E0181D" w:rsidRPr="00B040A0" w:rsidRDefault="00E0181D" w:rsidP="001909EF">
      <w:pPr>
        <w:spacing w:before="100" w:after="100"/>
        <w:jc w:val="center"/>
        <w:rPr>
          <w:b/>
          <w:bCs/>
        </w:rPr>
      </w:pPr>
      <w:r w:rsidRPr="00B040A0">
        <w:rPr>
          <w:b/>
          <w:bCs/>
        </w:rPr>
        <w:t>Fig. A-1. TOF Interpolation Error vs. Loft Angle for the Kepler and R-Frame Methods</w:t>
      </w:r>
    </w:p>
    <w:p w14:paraId="253CE527" w14:textId="77777777" w:rsidR="00E0181D" w:rsidRPr="00BC3BE9" w:rsidRDefault="00E0181D" w:rsidP="000A6CC5">
      <w:pPr>
        <w:tabs>
          <w:tab w:val="left" w:pos="288"/>
        </w:tabs>
        <w:spacing w:after="120"/>
        <w:ind w:firstLine="288"/>
      </w:pPr>
      <w:r w:rsidRPr="00BC3BE9">
        <w:t xml:space="preserve">Whether the </w:t>
      </w:r>
      <w:r w:rsidRPr="00BC3BE9">
        <w:rPr>
          <w:i/>
          <w:iCs/>
        </w:rPr>
        <w:t>R</w:t>
      </w:r>
      <w:r w:rsidRPr="00BC3BE9">
        <w:t>-method advantage persists across a wider range of node counts, target altitudes, and orbit families is a question for further study; the present example demonstrates the principle for the high-eccentricity regime that is the focus of this paper.</w:t>
      </w:r>
    </w:p>
    <w:p w14:paraId="25A4E36C" w14:textId="77777777" w:rsidR="00E0181D" w:rsidRDefault="00E0181D">
      <w:pPr>
        <w:tabs>
          <w:tab w:val="left" w:pos="288"/>
        </w:tabs>
        <w:ind w:firstLine="288"/>
        <w:rPr>
          <w:color w:val="EE0000"/>
        </w:rPr>
      </w:pPr>
    </w:p>
    <w:sectPr w:rsidR="00E0181D" w:rsidSect="00594FA6">
      <w:footerReference w:type="even" r:id="rId48"/>
      <w:footerReference w:type="default" r:id="rId49"/>
      <w:type w:val="continuous"/>
      <w:pgSz w:w="12240" w:h="15840"/>
      <w:pgMar w:top="1440" w:right="1440" w:bottom="1440" w:left="1440"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5AFBC" w14:textId="77777777" w:rsidR="00933C5C" w:rsidRDefault="00933C5C">
      <w:r>
        <w:separator/>
      </w:r>
    </w:p>
  </w:endnote>
  <w:endnote w:type="continuationSeparator" w:id="0">
    <w:p w14:paraId="1A799BF7" w14:textId="77777777" w:rsidR="00933C5C" w:rsidRDefault="00933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2D4BC" w14:textId="77777777" w:rsidR="00B636E4" w:rsidRDefault="00B636E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83354">
      <w:rPr>
        <w:rStyle w:val="PageNumber"/>
        <w:noProof/>
      </w:rPr>
      <w:t>1</w:t>
    </w:r>
    <w:r>
      <w:rPr>
        <w:rStyle w:val="PageNumber"/>
      </w:rPr>
      <w:fldChar w:fldCharType="end"/>
    </w:r>
  </w:p>
  <w:p w14:paraId="3007E5DF" w14:textId="77777777" w:rsidR="00B636E4" w:rsidRDefault="00B636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580995"/>
      <w:docPartObj>
        <w:docPartGallery w:val="Page Numbers (Bottom of Page)"/>
        <w:docPartUnique/>
      </w:docPartObj>
    </w:sdtPr>
    <w:sdtEndPr>
      <w:rPr>
        <w:noProof/>
      </w:rPr>
    </w:sdtEndPr>
    <w:sdtContent>
      <w:p w14:paraId="3D9D2646" w14:textId="77777777" w:rsidR="000C353C" w:rsidRDefault="000C353C">
        <w:pPr>
          <w:pStyle w:val="Footer"/>
          <w:jc w:val="center"/>
        </w:pPr>
        <w:r>
          <w:fldChar w:fldCharType="begin"/>
        </w:r>
        <w:r>
          <w:instrText xml:space="preserve"> PAGE   \* MERGEFORMAT </w:instrText>
        </w:r>
        <w:r>
          <w:fldChar w:fldCharType="separate"/>
        </w:r>
        <w:r w:rsidR="00A25100">
          <w:rPr>
            <w:noProof/>
          </w:rPr>
          <w:t>1</w:t>
        </w:r>
        <w:r>
          <w:rPr>
            <w:noProof/>
          </w:rPr>
          <w:fldChar w:fldCharType="end"/>
        </w:r>
      </w:p>
    </w:sdtContent>
  </w:sdt>
  <w:p w14:paraId="50D22425" w14:textId="77777777" w:rsidR="000C353C" w:rsidRDefault="000C35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A62A3" w14:textId="77777777" w:rsidR="00933C5C" w:rsidRDefault="00933C5C">
      <w:r>
        <w:separator/>
      </w:r>
    </w:p>
  </w:footnote>
  <w:footnote w:type="continuationSeparator" w:id="0">
    <w:p w14:paraId="448FBFAB" w14:textId="77777777" w:rsidR="00933C5C" w:rsidRDefault="00933C5C">
      <w:r>
        <w:continuationSeparator/>
      </w:r>
    </w:p>
  </w:footnote>
  <w:footnote w:id="1">
    <w:p w14:paraId="59CC2AE8" w14:textId="77777777" w:rsidR="00B636E4" w:rsidRDefault="001C030A" w:rsidP="00F565BA">
      <w:r w:rsidRPr="001C030A">
        <w:rPr>
          <w:vertAlign w:val="superscript"/>
        </w:rPr>
        <w:t>1</w:t>
      </w:r>
      <w:r>
        <w:t>I</w:t>
      </w:r>
      <w:r w:rsidR="00BA6CB5">
        <w:t>nstructor</w:t>
      </w:r>
      <w:r w:rsidR="00B636E4">
        <w:t xml:space="preserve">, </w:t>
      </w:r>
      <w:r w:rsidR="009D27EA">
        <w:t>University of Arizona</w:t>
      </w:r>
      <w:r w:rsidR="00B636E4">
        <w:t>,</w:t>
      </w:r>
      <w:r w:rsidR="009D27EA">
        <w:t xml:space="preserve"> Senior Engineering Design,</w:t>
      </w:r>
      <w:r w:rsidR="00B636E4">
        <w:t xml:space="preserve"> </w:t>
      </w:r>
      <w:r w:rsidR="00D46895">
        <w:t xml:space="preserve">AIAA </w:t>
      </w:r>
      <w:r w:rsidR="00BA6CB5">
        <w:t>Associate Fellow</w:t>
      </w:r>
      <w:r w:rsidR="00B636E4">
        <w:t>.</w:t>
      </w:r>
    </w:p>
    <w:p w14:paraId="0896E080" w14:textId="77777777" w:rsidR="002D09C7" w:rsidRDefault="002D09C7" w:rsidP="00F565BA">
      <w:r w:rsidRPr="00856CFB">
        <w:rPr>
          <w:color w:val="000000" w:themeColor="text1"/>
        </w:rPr>
        <w:t xml:space="preserve">Copyright </w:t>
      </w:r>
      <w:r w:rsidR="00440F3C" w:rsidRPr="00856CFB">
        <w:rPr>
          <w:color w:val="000000" w:themeColor="text1"/>
        </w:rPr>
        <w:t xml:space="preserve">© 2026 by Douglas H. May. </w:t>
      </w:r>
    </w:p>
  </w:footnote>
  <w:footnote w:id="2">
    <w:p w14:paraId="1F2F364A" w14:textId="041E8B79" w:rsidR="00EA7D3F" w:rsidRDefault="00BA27CD">
      <w:pPr>
        <w:pStyle w:val="FootnoteText"/>
      </w:pPr>
      <w:r w:rsidRPr="00BA27CD">
        <w:rPr>
          <w:rStyle w:val="FootnoteReference"/>
          <w:sz w:val="24"/>
          <w:szCs w:val="24"/>
        </w:rPr>
        <w:t>*</w:t>
      </w:r>
      <w:r>
        <w:t xml:space="preserve"> </w:t>
      </w:r>
      <w:r w:rsidR="00E4153E">
        <w:t>Published</w:t>
      </w:r>
      <w:r>
        <w:t xml:space="preserve"> references agree closely on orbital mechanics </w:t>
      </w:r>
      <w:r w:rsidR="00E4153E">
        <w:t>nomenclature</w:t>
      </w:r>
      <w:r>
        <w:t>. This paper follows Curtis [</w:t>
      </w:r>
      <w:r w:rsidR="00374057">
        <w:t>3</w:t>
      </w:r>
      <w:r>
        <w:t xml:space="preserve">] in using </w:t>
      </w:r>
      <w:r w:rsidRPr="00456292">
        <w:rPr>
          <w:i/>
          <w:iCs/>
        </w:rPr>
        <w:t>θ</w:t>
      </w:r>
      <w:r>
        <w:t xml:space="preserve"> for true anomaly. </w:t>
      </w:r>
      <w:r w:rsidR="00DE1C4F">
        <w:t xml:space="preserve">Bate, </w:t>
      </w:r>
      <w:r w:rsidR="00DE1C4F" w:rsidRPr="00026881">
        <w:t xml:space="preserve">et al [2] and </w:t>
      </w:r>
      <w:r w:rsidRPr="00026881">
        <w:t>Vallado [</w:t>
      </w:r>
      <w:r w:rsidR="00374057" w:rsidRPr="00026881">
        <w:t>4</w:t>
      </w:r>
      <w:r w:rsidRPr="00026881">
        <w:t>] uses</w:t>
      </w:r>
      <w:r>
        <w:t xml:space="preserve"> </w:t>
      </w:r>
      <w:r w:rsidRPr="00456292">
        <w:rPr>
          <w:i/>
          <w:iCs/>
        </w:rPr>
        <w:t>ν</w:t>
      </w:r>
      <w:r>
        <w:t xml:space="preserve"> for the same quantity; </w:t>
      </w:r>
      <w:r w:rsidRPr="00456292">
        <w:rPr>
          <w:i/>
          <w:iCs/>
        </w:rPr>
        <w:t>ν</w:t>
      </w:r>
      <w:r>
        <w:t xml:space="preserve"> does not appear in this paper.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C7C"/>
    <w:multiLevelType w:val="multilevel"/>
    <w:tmpl w:val="E3C0DA2E"/>
    <w:lvl w:ilvl="0">
      <w:start w:val="1"/>
      <w:numFmt w:val="bullet"/>
      <w:lvlText w:val=""/>
      <w:lvlJc w:val="left"/>
      <w:pPr>
        <w:tabs>
          <w:tab w:val="num" w:pos="5850"/>
        </w:tabs>
        <w:ind w:left="5850" w:hanging="360"/>
      </w:pPr>
      <w:rPr>
        <w:rFonts w:ascii="Symbol" w:hAnsi="Symbol" w:hint="default"/>
        <w:sz w:val="20"/>
      </w:rPr>
    </w:lvl>
    <w:lvl w:ilvl="1" w:tentative="1">
      <w:start w:val="1"/>
      <w:numFmt w:val="bullet"/>
      <w:lvlText w:val="o"/>
      <w:lvlJc w:val="left"/>
      <w:pPr>
        <w:tabs>
          <w:tab w:val="num" w:pos="6570"/>
        </w:tabs>
        <w:ind w:left="6570" w:hanging="360"/>
      </w:pPr>
      <w:rPr>
        <w:rFonts w:ascii="Courier New" w:hAnsi="Courier New" w:hint="default"/>
        <w:sz w:val="20"/>
      </w:rPr>
    </w:lvl>
    <w:lvl w:ilvl="2" w:tentative="1">
      <w:start w:val="1"/>
      <w:numFmt w:val="bullet"/>
      <w:lvlText w:val=""/>
      <w:lvlJc w:val="left"/>
      <w:pPr>
        <w:tabs>
          <w:tab w:val="num" w:pos="7290"/>
        </w:tabs>
        <w:ind w:left="7290" w:hanging="360"/>
      </w:pPr>
      <w:rPr>
        <w:rFonts w:ascii="Wingdings" w:hAnsi="Wingdings" w:hint="default"/>
        <w:sz w:val="20"/>
      </w:rPr>
    </w:lvl>
    <w:lvl w:ilvl="3" w:tentative="1">
      <w:start w:val="1"/>
      <w:numFmt w:val="bullet"/>
      <w:lvlText w:val=""/>
      <w:lvlJc w:val="left"/>
      <w:pPr>
        <w:tabs>
          <w:tab w:val="num" w:pos="8010"/>
        </w:tabs>
        <w:ind w:left="8010" w:hanging="360"/>
      </w:pPr>
      <w:rPr>
        <w:rFonts w:ascii="Wingdings" w:hAnsi="Wingdings" w:hint="default"/>
        <w:sz w:val="20"/>
      </w:rPr>
    </w:lvl>
    <w:lvl w:ilvl="4" w:tentative="1">
      <w:start w:val="1"/>
      <w:numFmt w:val="bullet"/>
      <w:lvlText w:val=""/>
      <w:lvlJc w:val="left"/>
      <w:pPr>
        <w:tabs>
          <w:tab w:val="num" w:pos="8730"/>
        </w:tabs>
        <w:ind w:left="8730" w:hanging="360"/>
      </w:pPr>
      <w:rPr>
        <w:rFonts w:ascii="Wingdings" w:hAnsi="Wingdings" w:hint="default"/>
        <w:sz w:val="20"/>
      </w:rPr>
    </w:lvl>
    <w:lvl w:ilvl="5" w:tentative="1">
      <w:start w:val="1"/>
      <w:numFmt w:val="bullet"/>
      <w:lvlText w:val=""/>
      <w:lvlJc w:val="left"/>
      <w:pPr>
        <w:tabs>
          <w:tab w:val="num" w:pos="9450"/>
        </w:tabs>
        <w:ind w:left="9450" w:hanging="360"/>
      </w:pPr>
      <w:rPr>
        <w:rFonts w:ascii="Wingdings" w:hAnsi="Wingdings" w:hint="default"/>
        <w:sz w:val="20"/>
      </w:rPr>
    </w:lvl>
    <w:lvl w:ilvl="6" w:tentative="1">
      <w:start w:val="1"/>
      <w:numFmt w:val="bullet"/>
      <w:lvlText w:val=""/>
      <w:lvlJc w:val="left"/>
      <w:pPr>
        <w:tabs>
          <w:tab w:val="num" w:pos="10170"/>
        </w:tabs>
        <w:ind w:left="10170" w:hanging="360"/>
      </w:pPr>
      <w:rPr>
        <w:rFonts w:ascii="Wingdings" w:hAnsi="Wingdings" w:hint="default"/>
        <w:sz w:val="20"/>
      </w:rPr>
    </w:lvl>
    <w:lvl w:ilvl="7" w:tentative="1">
      <w:start w:val="1"/>
      <w:numFmt w:val="bullet"/>
      <w:lvlText w:val=""/>
      <w:lvlJc w:val="left"/>
      <w:pPr>
        <w:tabs>
          <w:tab w:val="num" w:pos="10890"/>
        </w:tabs>
        <w:ind w:left="10890" w:hanging="360"/>
      </w:pPr>
      <w:rPr>
        <w:rFonts w:ascii="Wingdings" w:hAnsi="Wingdings" w:hint="default"/>
        <w:sz w:val="20"/>
      </w:rPr>
    </w:lvl>
    <w:lvl w:ilvl="8" w:tentative="1">
      <w:start w:val="1"/>
      <w:numFmt w:val="bullet"/>
      <w:lvlText w:val=""/>
      <w:lvlJc w:val="left"/>
      <w:pPr>
        <w:tabs>
          <w:tab w:val="num" w:pos="11610"/>
        </w:tabs>
        <w:ind w:left="11610" w:hanging="360"/>
      </w:pPr>
      <w:rPr>
        <w:rFonts w:ascii="Wingdings" w:hAnsi="Wingdings" w:hint="default"/>
        <w:sz w:val="20"/>
      </w:rPr>
    </w:lvl>
  </w:abstractNum>
  <w:abstractNum w:abstractNumId="1" w15:restartNumberingAfterBreak="0">
    <w:nsid w:val="040D290C"/>
    <w:multiLevelType w:val="multilevel"/>
    <w:tmpl w:val="E4204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379DD"/>
    <w:multiLevelType w:val="multilevel"/>
    <w:tmpl w:val="49F0CE16"/>
    <w:lvl w:ilvl="0">
      <w:start w:val="1"/>
      <w:numFmt w:val="decimal"/>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54227"/>
    <w:multiLevelType w:val="hybridMultilevel"/>
    <w:tmpl w:val="4E9C4646"/>
    <w:lvl w:ilvl="0" w:tplc="C35C325E">
      <w:start w:val="1"/>
      <w:numFmt w:val="decimal"/>
      <w:pStyle w:val="Heading3"/>
      <w:lvlText w:val="%1."/>
      <w:lvlJc w:val="left"/>
      <w:pPr>
        <w:tabs>
          <w:tab w:val="num" w:pos="648"/>
        </w:tabs>
        <w:ind w:left="576"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263C75"/>
    <w:multiLevelType w:val="hybridMultilevel"/>
    <w:tmpl w:val="4A842EDA"/>
    <w:lvl w:ilvl="0" w:tplc="43E22C5C">
      <w:start w:val="1"/>
      <w:numFmt w:val="bullet"/>
      <w:lvlText w:val=""/>
      <w:lvlJc w:val="left"/>
      <w:pPr>
        <w:tabs>
          <w:tab w:val="num" w:pos="360"/>
        </w:tabs>
        <w:ind w:left="0" w:firstLine="0"/>
      </w:pPr>
      <w:rPr>
        <w:rFonts w:ascii="Symbol" w:hAnsi="Symbol" w:hint="default"/>
      </w:rPr>
    </w:lvl>
    <w:lvl w:ilvl="1" w:tplc="04090003" w:tentative="1">
      <w:start w:val="1"/>
      <w:numFmt w:val="bullet"/>
      <w:lvlText w:val="o"/>
      <w:lvlJc w:val="left"/>
      <w:pPr>
        <w:tabs>
          <w:tab w:val="num" w:pos="1152"/>
        </w:tabs>
        <w:ind w:left="1152" w:hanging="360"/>
      </w:pPr>
      <w:rPr>
        <w:rFonts w:ascii="Courier New" w:hAnsi="Courier New" w:hint="default"/>
      </w:rPr>
    </w:lvl>
    <w:lvl w:ilvl="2" w:tplc="04090005" w:tentative="1">
      <w:start w:val="1"/>
      <w:numFmt w:val="bullet"/>
      <w:lvlText w:val=""/>
      <w:lvlJc w:val="left"/>
      <w:pPr>
        <w:tabs>
          <w:tab w:val="num" w:pos="1872"/>
        </w:tabs>
        <w:ind w:left="1872" w:hanging="360"/>
      </w:pPr>
      <w:rPr>
        <w:rFonts w:ascii="Wingdings" w:hAnsi="Wingdings" w:hint="default"/>
      </w:rPr>
    </w:lvl>
    <w:lvl w:ilvl="3" w:tplc="04090001" w:tentative="1">
      <w:start w:val="1"/>
      <w:numFmt w:val="bullet"/>
      <w:lvlText w:val=""/>
      <w:lvlJc w:val="left"/>
      <w:pPr>
        <w:tabs>
          <w:tab w:val="num" w:pos="2592"/>
        </w:tabs>
        <w:ind w:left="2592" w:hanging="360"/>
      </w:pPr>
      <w:rPr>
        <w:rFonts w:ascii="Symbol" w:hAnsi="Symbol" w:hint="default"/>
      </w:rPr>
    </w:lvl>
    <w:lvl w:ilvl="4" w:tplc="04090003" w:tentative="1">
      <w:start w:val="1"/>
      <w:numFmt w:val="bullet"/>
      <w:lvlText w:val="o"/>
      <w:lvlJc w:val="left"/>
      <w:pPr>
        <w:tabs>
          <w:tab w:val="num" w:pos="3312"/>
        </w:tabs>
        <w:ind w:left="3312" w:hanging="360"/>
      </w:pPr>
      <w:rPr>
        <w:rFonts w:ascii="Courier New" w:hAnsi="Courier New" w:hint="default"/>
      </w:rPr>
    </w:lvl>
    <w:lvl w:ilvl="5" w:tplc="04090005" w:tentative="1">
      <w:start w:val="1"/>
      <w:numFmt w:val="bullet"/>
      <w:lvlText w:val=""/>
      <w:lvlJc w:val="left"/>
      <w:pPr>
        <w:tabs>
          <w:tab w:val="num" w:pos="4032"/>
        </w:tabs>
        <w:ind w:left="4032" w:hanging="360"/>
      </w:pPr>
      <w:rPr>
        <w:rFonts w:ascii="Wingdings" w:hAnsi="Wingdings" w:hint="default"/>
      </w:rPr>
    </w:lvl>
    <w:lvl w:ilvl="6" w:tplc="04090001" w:tentative="1">
      <w:start w:val="1"/>
      <w:numFmt w:val="bullet"/>
      <w:lvlText w:val=""/>
      <w:lvlJc w:val="left"/>
      <w:pPr>
        <w:tabs>
          <w:tab w:val="num" w:pos="4752"/>
        </w:tabs>
        <w:ind w:left="4752" w:hanging="360"/>
      </w:pPr>
      <w:rPr>
        <w:rFonts w:ascii="Symbol" w:hAnsi="Symbol" w:hint="default"/>
      </w:rPr>
    </w:lvl>
    <w:lvl w:ilvl="7" w:tplc="04090003" w:tentative="1">
      <w:start w:val="1"/>
      <w:numFmt w:val="bullet"/>
      <w:lvlText w:val="o"/>
      <w:lvlJc w:val="left"/>
      <w:pPr>
        <w:tabs>
          <w:tab w:val="num" w:pos="5472"/>
        </w:tabs>
        <w:ind w:left="5472" w:hanging="360"/>
      </w:pPr>
      <w:rPr>
        <w:rFonts w:ascii="Courier New" w:hAnsi="Courier New" w:hint="default"/>
      </w:rPr>
    </w:lvl>
    <w:lvl w:ilvl="8" w:tplc="04090005" w:tentative="1">
      <w:start w:val="1"/>
      <w:numFmt w:val="bullet"/>
      <w:lvlText w:val=""/>
      <w:lvlJc w:val="left"/>
      <w:pPr>
        <w:tabs>
          <w:tab w:val="num" w:pos="6192"/>
        </w:tabs>
        <w:ind w:left="6192" w:hanging="360"/>
      </w:pPr>
      <w:rPr>
        <w:rFonts w:ascii="Wingdings" w:hAnsi="Wingdings" w:hint="default"/>
      </w:rPr>
    </w:lvl>
  </w:abstractNum>
  <w:abstractNum w:abstractNumId="5" w15:restartNumberingAfterBreak="0">
    <w:nsid w:val="13CD4ACF"/>
    <w:multiLevelType w:val="hybridMultilevel"/>
    <w:tmpl w:val="C76AA214"/>
    <w:lvl w:ilvl="0" w:tplc="606803D6">
      <w:start w:val="1"/>
      <w:numFmt w:val="upperLetter"/>
      <w:pStyle w:val="Heading2"/>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2EB26C74">
      <w:start w:val="1"/>
      <w:numFmt w:val="lowerLetter"/>
      <w:lvlText w:val="%5."/>
      <w:lvlJc w:val="left"/>
      <w:pPr>
        <w:tabs>
          <w:tab w:val="num" w:pos="648"/>
        </w:tabs>
        <w:ind w:left="288" w:firstLine="0"/>
      </w:pPr>
      <w:rPr>
        <w:rFonts w:hint="default"/>
      </w:rPr>
    </w:lvl>
    <w:lvl w:ilvl="5" w:tplc="79E24208">
      <w:start w:val="1"/>
      <w:numFmt w:val="decimal"/>
      <w:lvlText w:val="%6)"/>
      <w:lvlJc w:val="left"/>
      <w:pPr>
        <w:tabs>
          <w:tab w:val="num" w:pos="720"/>
        </w:tabs>
        <w:ind w:left="720" w:hanging="432"/>
      </w:pPr>
      <w:rPr>
        <w:rFonts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B4F54E7"/>
    <w:multiLevelType w:val="hybridMultilevel"/>
    <w:tmpl w:val="C3E487AA"/>
    <w:lvl w:ilvl="0" w:tplc="3C78074C">
      <w:start w:val="1"/>
      <w:numFmt w:val="decimal"/>
      <w:lvlText w:val="%1)"/>
      <w:lvlJc w:val="left"/>
      <w:pPr>
        <w:tabs>
          <w:tab w:val="num" w:pos="720"/>
        </w:tabs>
        <w:ind w:left="720" w:hanging="432"/>
      </w:pPr>
      <w:rPr>
        <w:rFonts w:hint="default"/>
      </w:rPr>
    </w:lvl>
    <w:lvl w:ilvl="1" w:tplc="04090019" w:tentative="1">
      <w:start w:val="1"/>
      <w:numFmt w:val="lowerLetter"/>
      <w:lvlText w:val="%2."/>
      <w:lvlJc w:val="left"/>
      <w:pPr>
        <w:tabs>
          <w:tab w:val="num" w:pos="5580"/>
        </w:tabs>
        <w:ind w:left="5580" w:hanging="360"/>
      </w:pPr>
    </w:lvl>
    <w:lvl w:ilvl="2" w:tplc="0409001B" w:tentative="1">
      <w:start w:val="1"/>
      <w:numFmt w:val="lowerRoman"/>
      <w:lvlText w:val="%3."/>
      <w:lvlJc w:val="right"/>
      <w:pPr>
        <w:tabs>
          <w:tab w:val="num" w:pos="6300"/>
        </w:tabs>
        <w:ind w:left="6300" w:hanging="180"/>
      </w:pPr>
    </w:lvl>
    <w:lvl w:ilvl="3" w:tplc="0409000F" w:tentative="1">
      <w:start w:val="1"/>
      <w:numFmt w:val="decimal"/>
      <w:lvlText w:val="%4."/>
      <w:lvlJc w:val="left"/>
      <w:pPr>
        <w:tabs>
          <w:tab w:val="num" w:pos="7020"/>
        </w:tabs>
        <w:ind w:left="7020" w:hanging="360"/>
      </w:pPr>
    </w:lvl>
    <w:lvl w:ilvl="4" w:tplc="04090019" w:tentative="1">
      <w:start w:val="1"/>
      <w:numFmt w:val="lowerLetter"/>
      <w:lvlText w:val="%5."/>
      <w:lvlJc w:val="left"/>
      <w:pPr>
        <w:tabs>
          <w:tab w:val="num" w:pos="7740"/>
        </w:tabs>
        <w:ind w:left="7740" w:hanging="360"/>
      </w:pPr>
    </w:lvl>
    <w:lvl w:ilvl="5" w:tplc="0409001B" w:tentative="1">
      <w:start w:val="1"/>
      <w:numFmt w:val="lowerRoman"/>
      <w:lvlText w:val="%6."/>
      <w:lvlJc w:val="right"/>
      <w:pPr>
        <w:tabs>
          <w:tab w:val="num" w:pos="8460"/>
        </w:tabs>
        <w:ind w:left="8460" w:hanging="180"/>
      </w:pPr>
    </w:lvl>
    <w:lvl w:ilvl="6" w:tplc="0409000F" w:tentative="1">
      <w:start w:val="1"/>
      <w:numFmt w:val="decimal"/>
      <w:lvlText w:val="%7."/>
      <w:lvlJc w:val="left"/>
      <w:pPr>
        <w:tabs>
          <w:tab w:val="num" w:pos="9180"/>
        </w:tabs>
        <w:ind w:left="9180" w:hanging="360"/>
      </w:pPr>
    </w:lvl>
    <w:lvl w:ilvl="7" w:tplc="04090019" w:tentative="1">
      <w:start w:val="1"/>
      <w:numFmt w:val="lowerLetter"/>
      <w:lvlText w:val="%8."/>
      <w:lvlJc w:val="left"/>
      <w:pPr>
        <w:tabs>
          <w:tab w:val="num" w:pos="9900"/>
        </w:tabs>
        <w:ind w:left="9900" w:hanging="360"/>
      </w:pPr>
    </w:lvl>
    <w:lvl w:ilvl="8" w:tplc="0409001B" w:tentative="1">
      <w:start w:val="1"/>
      <w:numFmt w:val="lowerRoman"/>
      <w:lvlText w:val="%9."/>
      <w:lvlJc w:val="right"/>
      <w:pPr>
        <w:tabs>
          <w:tab w:val="num" w:pos="10620"/>
        </w:tabs>
        <w:ind w:left="10620" w:hanging="180"/>
      </w:pPr>
    </w:lvl>
  </w:abstractNum>
  <w:abstractNum w:abstractNumId="7" w15:restartNumberingAfterBreak="0">
    <w:nsid w:val="1C24356B"/>
    <w:multiLevelType w:val="hybridMultilevel"/>
    <w:tmpl w:val="5762A6B6"/>
    <w:lvl w:ilvl="0" w:tplc="C0FCD902">
      <w:start w:val="1"/>
      <w:numFmt w:val="bullet"/>
      <w:lvlText w:val=""/>
      <w:lvlJc w:val="left"/>
      <w:pPr>
        <w:tabs>
          <w:tab w:val="num" w:pos="648"/>
        </w:tabs>
        <w:ind w:left="576" w:hanging="288"/>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8" w15:restartNumberingAfterBreak="0">
    <w:nsid w:val="1CF05DF9"/>
    <w:multiLevelType w:val="hybridMultilevel"/>
    <w:tmpl w:val="5762A6B6"/>
    <w:lvl w:ilvl="0" w:tplc="88A8CE80">
      <w:start w:val="1"/>
      <w:numFmt w:val="bullet"/>
      <w:lvlText w:val=""/>
      <w:lvlJc w:val="left"/>
      <w:pPr>
        <w:tabs>
          <w:tab w:val="num" w:pos="648"/>
        </w:tabs>
        <w:ind w:left="288" w:firstLine="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9" w15:restartNumberingAfterBreak="0">
    <w:nsid w:val="1F3B4CC9"/>
    <w:multiLevelType w:val="multilevel"/>
    <w:tmpl w:val="F4A29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E24088"/>
    <w:multiLevelType w:val="multilevel"/>
    <w:tmpl w:val="BE2A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8625F"/>
    <w:multiLevelType w:val="multilevel"/>
    <w:tmpl w:val="3506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31C8B"/>
    <w:multiLevelType w:val="hybridMultilevel"/>
    <w:tmpl w:val="CFE66962"/>
    <w:lvl w:ilvl="0" w:tplc="AD4C076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FD704F2"/>
    <w:multiLevelType w:val="hybridMultilevel"/>
    <w:tmpl w:val="15BE78DC"/>
    <w:lvl w:ilvl="0" w:tplc="0768AAFC">
      <w:start w:val="1"/>
      <w:numFmt w:val="upperRoman"/>
      <w:pStyle w:val="Heading1"/>
      <w:lvlText w:val="%1."/>
      <w:lvlJc w:val="right"/>
      <w:pPr>
        <w:tabs>
          <w:tab w:val="num" w:pos="2250"/>
        </w:tabs>
        <w:ind w:left="1890" w:firstLine="0"/>
      </w:pPr>
      <w:rPr>
        <w:rFonts w:ascii="Times New Roman" w:hAnsi="Times New Roman" w:hint="default"/>
      </w:rPr>
    </w:lvl>
    <w:lvl w:ilvl="1" w:tplc="4976073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D27F57"/>
    <w:multiLevelType w:val="multilevel"/>
    <w:tmpl w:val="F970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A16A1"/>
    <w:multiLevelType w:val="hybridMultilevel"/>
    <w:tmpl w:val="858821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1C52DE"/>
    <w:multiLevelType w:val="multilevel"/>
    <w:tmpl w:val="8C7A8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D555EF"/>
    <w:multiLevelType w:val="hybridMultilevel"/>
    <w:tmpl w:val="018C8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865185"/>
    <w:multiLevelType w:val="hybridMultilevel"/>
    <w:tmpl w:val="66F893C2"/>
    <w:lvl w:ilvl="0" w:tplc="AB140114">
      <w:start w:val="1"/>
      <w:numFmt w:val="upperLetter"/>
      <w:lvlText w:val="%1."/>
      <w:lvlJc w:val="left"/>
      <w:pPr>
        <w:tabs>
          <w:tab w:val="num" w:pos="360"/>
        </w:tabs>
        <w:ind w:left="0" w:firstLine="0"/>
      </w:pPr>
      <w:rPr>
        <w:rFonts w:ascii="Times New Roman" w:hAnsi="Times New Roman" w:hint="default"/>
      </w:rPr>
    </w:lvl>
    <w:lvl w:ilvl="1" w:tplc="4EB2A9DE">
      <w:start w:val="1"/>
      <w:numFmt w:val="bullet"/>
      <w:lvlText w:val=""/>
      <w:lvlJc w:val="left"/>
      <w:pPr>
        <w:tabs>
          <w:tab w:val="num" w:pos="648"/>
        </w:tabs>
        <w:ind w:left="360" w:hanging="72"/>
      </w:pPr>
      <w:rPr>
        <w:rFonts w:ascii="Symbol" w:hAnsi="Symbol" w:hint="default"/>
      </w:rPr>
    </w:lvl>
    <w:lvl w:ilvl="2" w:tplc="7F1A24CE">
      <w:start w:val="1"/>
      <w:numFmt w:val="decimal"/>
      <w:lvlText w:val="%3."/>
      <w:lvlJc w:val="left"/>
      <w:pPr>
        <w:tabs>
          <w:tab w:val="num" w:pos="648"/>
        </w:tabs>
        <w:ind w:left="360" w:hanging="72"/>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8AC3CC6"/>
    <w:multiLevelType w:val="hybridMultilevel"/>
    <w:tmpl w:val="5762A6B6"/>
    <w:lvl w:ilvl="0" w:tplc="43E22C5C">
      <w:start w:val="1"/>
      <w:numFmt w:val="bullet"/>
      <w:lvlText w:val=""/>
      <w:lvlJc w:val="left"/>
      <w:pPr>
        <w:tabs>
          <w:tab w:val="num" w:pos="936"/>
        </w:tabs>
        <w:ind w:left="576" w:firstLine="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0" w15:restartNumberingAfterBreak="0">
    <w:nsid w:val="565D013B"/>
    <w:multiLevelType w:val="hybridMultilevel"/>
    <w:tmpl w:val="66F893C2"/>
    <w:lvl w:ilvl="0" w:tplc="AB140114">
      <w:start w:val="1"/>
      <w:numFmt w:val="upperLetter"/>
      <w:lvlText w:val="%1."/>
      <w:lvlJc w:val="left"/>
      <w:pPr>
        <w:tabs>
          <w:tab w:val="num" w:pos="360"/>
        </w:tabs>
        <w:ind w:left="0" w:firstLine="0"/>
      </w:pPr>
      <w:rPr>
        <w:rFonts w:ascii="Times New Roman" w:hAnsi="Times New Roman" w:hint="default"/>
      </w:rPr>
    </w:lvl>
    <w:lvl w:ilvl="1" w:tplc="43E22C5C">
      <w:start w:val="1"/>
      <w:numFmt w:val="bullet"/>
      <w:lvlText w:val=""/>
      <w:lvlJc w:val="left"/>
      <w:pPr>
        <w:tabs>
          <w:tab w:val="num" w:pos="648"/>
        </w:tabs>
        <w:ind w:left="288" w:firstLine="0"/>
      </w:pPr>
      <w:rPr>
        <w:rFonts w:ascii="Symbol" w:hAnsi="Symbol" w:hint="default"/>
      </w:rPr>
    </w:lvl>
    <w:lvl w:ilvl="2" w:tplc="7F1A24CE">
      <w:start w:val="1"/>
      <w:numFmt w:val="decimal"/>
      <w:lvlText w:val="%3."/>
      <w:lvlJc w:val="left"/>
      <w:pPr>
        <w:tabs>
          <w:tab w:val="num" w:pos="648"/>
        </w:tabs>
        <w:ind w:left="360" w:hanging="72"/>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160677B"/>
    <w:multiLevelType w:val="hybridMultilevel"/>
    <w:tmpl w:val="E9227B7C"/>
    <w:lvl w:ilvl="0" w:tplc="25221698">
      <w:start w:val="1"/>
      <w:numFmt w:val="decimal"/>
      <w:lvlText w:val="%1)"/>
      <w:lvlJc w:val="left"/>
      <w:pPr>
        <w:tabs>
          <w:tab w:val="num" w:pos="648"/>
        </w:tabs>
        <w:ind w:left="648" w:hanging="36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22" w15:restartNumberingAfterBreak="0">
    <w:nsid w:val="6201068F"/>
    <w:multiLevelType w:val="hybridMultilevel"/>
    <w:tmpl w:val="AB183A2A"/>
    <w:lvl w:ilvl="0" w:tplc="1E9C550C">
      <w:start w:val="1"/>
      <w:numFmt w:val="decimal"/>
      <w:lvlText w:val="%1)"/>
      <w:lvlJc w:val="left"/>
      <w:pPr>
        <w:tabs>
          <w:tab w:val="num" w:pos="720"/>
        </w:tabs>
        <w:ind w:left="720"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3EF1209"/>
    <w:multiLevelType w:val="multilevel"/>
    <w:tmpl w:val="00290409"/>
    <w:lvl w:ilvl="0">
      <w:start w:val="1"/>
      <w:numFmt w:val="decimal"/>
      <w:suff w:val="space"/>
      <w:lvlText w:val="Chapter %1"/>
      <w:lvlJc w:val="left"/>
      <w:pPr>
        <w:ind w:left="0" w:firstLine="0"/>
      </w:pPr>
    </w:lvl>
    <w:lvl w:ilvl="1">
      <w:start w:val="1"/>
      <w:numFmt w:val="decimal"/>
      <w:lvlText w:val="%2)"/>
      <w:lvlJc w:val="left"/>
      <w:pPr>
        <w:tabs>
          <w:tab w:val="num" w:pos="648"/>
        </w:tabs>
        <w:ind w:left="576" w:hanging="288"/>
      </w:pPr>
      <w:rPr>
        <w:rFonts w:hint="default"/>
      </w:rPr>
    </w:lvl>
    <w:lvl w:ilvl="2">
      <w:start w:val="1"/>
      <w:numFmt w:val="none"/>
      <w:suff w:val="nothing"/>
      <w:lvlText w:val="%3."/>
      <w:lvlJc w:val="left"/>
      <w:pPr>
        <w:ind w:left="0" w:firstLine="0"/>
      </w:pPr>
    </w:lvl>
    <w:lvl w:ilvl="3">
      <w:start w:val="1"/>
      <w:numFmt w:val="none"/>
      <w:suff w:val="nothing"/>
      <w:lvlText w:val="%4)"/>
      <w:lvlJc w:val="left"/>
      <w:pPr>
        <w:ind w:left="0" w:firstLine="0"/>
      </w:pPr>
    </w:lvl>
    <w:lvl w:ilvl="4">
      <w:start w:val="1"/>
      <w:numFmt w:val="none"/>
      <w:suff w:val="nothing"/>
      <w:lvlText w:val="(%5)"/>
      <w:lvlJc w:val="left"/>
      <w:pPr>
        <w:ind w:left="0" w:firstLine="0"/>
      </w:pPr>
    </w:lvl>
    <w:lvl w:ilvl="5">
      <w:start w:val="1"/>
      <w:numFmt w:val="none"/>
      <w:suff w:val="nothing"/>
      <w:lvlText w:val="(%6)"/>
      <w:lvlJc w:val="left"/>
      <w:pPr>
        <w:ind w:left="0" w:firstLine="0"/>
      </w:pPr>
    </w:lvl>
    <w:lvl w:ilvl="6">
      <w:start w:val="1"/>
      <w:numFmt w:val="none"/>
      <w:suff w:val="nothing"/>
      <w:lvlText w:val="(%7)"/>
      <w:lvlJc w:val="left"/>
      <w:pPr>
        <w:ind w:left="0" w:firstLine="0"/>
      </w:pPr>
    </w:lvl>
    <w:lvl w:ilvl="7">
      <w:start w:val="1"/>
      <w:numFmt w:val="none"/>
      <w:suff w:val="nothing"/>
      <w:lvlText w:val="(%8)"/>
      <w:lvlJc w:val="left"/>
      <w:pPr>
        <w:ind w:left="0" w:firstLine="0"/>
      </w:pPr>
    </w:lvl>
    <w:lvl w:ilvl="8">
      <w:start w:val="1"/>
      <w:numFmt w:val="none"/>
      <w:suff w:val="nothing"/>
      <w:lvlText w:val="(%9)"/>
      <w:lvlJc w:val="left"/>
      <w:pPr>
        <w:ind w:left="0" w:firstLine="0"/>
      </w:pPr>
    </w:lvl>
  </w:abstractNum>
  <w:abstractNum w:abstractNumId="24" w15:restartNumberingAfterBreak="0">
    <w:nsid w:val="689B562C"/>
    <w:multiLevelType w:val="hybridMultilevel"/>
    <w:tmpl w:val="47D086BC"/>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6" w15:restartNumberingAfterBreak="0">
    <w:nsid w:val="740F41AC"/>
    <w:multiLevelType w:val="hybridMultilevel"/>
    <w:tmpl w:val="2B54A3C0"/>
    <w:lvl w:ilvl="0" w:tplc="43E22C5C">
      <w:start w:val="1"/>
      <w:numFmt w:val="bullet"/>
      <w:lvlText w:val=""/>
      <w:lvlJc w:val="left"/>
      <w:pPr>
        <w:tabs>
          <w:tab w:val="num" w:pos="936"/>
        </w:tabs>
        <w:ind w:left="576" w:firstLine="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7" w15:restartNumberingAfterBreak="0">
    <w:nsid w:val="75657D86"/>
    <w:multiLevelType w:val="multilevel"/>
    <w:tmpl w:val="B8C04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0F0143"/>
    <w:multiLevelType w:val="multilevel"/>
    <w:tmpl w:val="27287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F46323"/>
    <w:multiLevelType w:val="multilevel"/>
    <w:tmpl w:val="ABCAF4A4"/>
    <w:lvl w:ilvl="0">
      <w:start w:val="1"/>
      <w:numFmt w:val="decimal"/>
      <w:lvlText w:val="%1)"/>
      <w:lvlJc w:val="left"/>
      <w:pPr>
        <w:tabs>
          <w:tab w:val="num" w:pos="720"/>
        </w:tabs>
        <w:ind w:left="720" w:hanging="432"/>
      </w:pPr>
      <w:rPr>
        <w:rFonts w:hint="default"/>
      </w:rPr>
    </w:lvl>
    <w:lvl w:ilvl="1">
      <w:start w:val="1"/>
      <w:numFmt w:val="lowerLetter"/>
      <w:lvlText w:val="%2)"/>
      <w:lvlJc w:val="left"/>
      <w:pPr>
        <w:tabs>
          <w:tab w:val="num" w:pos="1296"/>
        </w:tabs>
        <w:ind w:left="1296" w:hanging="360"/>
      </w:pPr>
      <w:rPr>
        <w:rFonts w:hint="default"/>
      </w:rPr>
    </w:lvl>
    <w:lvl w:ilvl="2">
      <w:start w:val="1"/>
      <w:numFmt w:val="lowerRoman"/>
      <w:lvlText w:val="%3)"/>
      <w:lvlJc w:val="left"/>
      <w:pPr>
        <w:tabs>
          <w:tab w:val="num" w:pos="2016"/>
        </w:tabs>
        <w:ind w:left="1656" w:hanging="360"/>
      </w:pPr>
      <w:rPr>
        <w:rFonts w:hint="default"/>
      </w:rPr>
    </w:lvl>
    <w:lvl w:ilvl="3">
      <w:start w:val="1"/>
      <w:numFmt w:val="decimal"/>
      <w:lvlText w:val="(%4)"/>
      <w:lvlJc w:val="left"/>
      <w:pPr>
        <w:tabs>
          <w:tab w:val="num" w:pos="2016"/>
        </w:tabs>
        <w:ind w:left="2016" w:hanging="360"/>
      </w:pPr>
      <w:rPr>
        <w:rFonts w:hint="default"/>
      </w:rPr>
    </w:lvl>
    <w:lvl w:ilvl="4">
      <w:start w:val="1"/>
      <w:numFmt w:val="lowerLetter"/>
      <w:lvlText w:val="(%5)"/>
      <w:lvlJc w:val="left"/>
      <w:pPr>
        <w:tabs>
          <w:tab w:val="num" w:pos="2376"/>
        </w:tabs>
        <w:ind w:left="2376" w:hanging="360"/>
      </w:pPr>
      <w:rPr>
        <w:rFonts w:hint="default"/>
      </w:rPr>
    </w:lvl>
    <w:lvl w:ilvl="5">
      <w:start w:val="1"/>
      <w:numFmt w:val="lowerRoman"/>
      <w:lvlText w:val="(%6)"/>
      <w:lvlJc w:val="left"/>
      <w:pPr>
        <w:tabs>
          <w:tab w:val="num" w:pos="2736"/>
        </w:tabs>
        <w:ind w:left="2736" w:hanging="360"/>
      </w:pPr>
      <w:rPr>
        <w:rFonts w:hint="default"/>
      </w:rPr>
    </w:lvl>
    <w:lvl w:ilvl="6">
      <w:start w:val="1"/>
      <w:numFmt w:val="decimal"/>
      <w:lvlText w:val="%7."/>
      <w:lvlJc w:val="left"/>
      <w:pPr>
        <w:tabs>
          <w:tab w:val="num" w:pos="3096"/>
        </w:tabs>
        <w:ind w:left="3096" w:hanging="360"/>
      </w:pPr>
      <w:rPr>
        <w:rFonts w:hint="default"/>
      </w:rPr>
    </w:lvl>
    <w:lvl w:ilvl="7">
      <w:start w:val="1"/>
      <w:numFmt w:val="lowerLetter"/>
      <w:lvlText w:val="%8."/>
      <w:lvlJc w:val="left"/>
      <w:pPr>
        <w:tabs>
          <w:tab w:val="num" w:pos="3456"/>
        </w:tabs>
        <w:ind w:left="3456" w:hanging="360"/>
      </w:pPr>
      <w:rPr>
        <w:rFonts w:hint="default"/>
      </w:rPr>
    </w:lvl>
    <w:lvl w:ilvl="8">
      <w:start w:val="1"/>
      <w:numFmt w:val="lowerRoman"/>
      <w:lvlText w:val="%9."/>
      <w:lvlJc w:val="left"/>
      <w:pPr>
        <w:tabs>
          <w:tab w:val="num" w:pos="3816"/>
        </w:tabs>
        <w:ind w:left="3816" w:hanging="360"/>
      </w:pPr>
      <w:rPr>
        <w:rFonts w:hint="default"/>
      </w:rPr>
    </w:lvl>
  </w:abstractNum>
  <w:abstractNum w:abstractNumId="30" w15:restartNumberingAfterBreak="0">
    <w:nsid w:val="7ADC0C8B"/>
    <w:multiLevelType w:val="hybridMultilevel"/>
    <w:tmpl w:val="A45CF8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DF316BC"/>
    <w:multiLevelType w:val="hybridMultilevel"/>
    <w:tmpl w:val="5762A6B6"/>
    <w:lvl w:ilvl="0" w:tplc="237E1962">
      <w:start w:val="1"/>
      <w:numFmt w:val="bullet"/>
      <w:lvlText w:val=""/>
      <w:lvlJc w:val="left"/>
      <w:pPr>
        <w:tabs>
          <w:tab w:val="num" w:pos="720"/>
        </w:tabs>
        <w:ind w:left="720" w:hanging="432"/>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32" w15:restartNumberingAfterBreak="0">
    <w:nsid w:val="7F037586"/>
    <w:multiLevelType w:val="multilevel"/>
    <w:tmpl w:val="BAC46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6646F6"/>
    <w:multiLevelType w:val="hybridMultilevel"/>
    <w:tmpl w:val="5762A6B6"/>
    <w:lvl w:ilvl="0" w:tplc="EDBC50CA">
      <w:start w:val="1"/>
      <w:numFmt w:val="bullet"/>
      <w:lvlText w:val=""/>
      <w:lvlJc w:val="left"/>
      <w:pPr>
        <w:tabs>
          <w:tab w:val="num" w:pos="648"/>
        </w:tabs>
        <w:ind w:left="576" w:hanging="288"/>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num w:numId="1" w16cid:durableId="158278492">
    <w:abstractNumId w:val="12"/>
  </w:num>
  <w:num w:numId="2" w16cid:durableId="1581985813">
    <w:abstractNumId w:val="13"/>
  </w:num>
  <w:num w:numId="3" w16cid:durableId="1536894338">
    <w:abstractNumId w:val="5"/>
  </w:num>
  <w:num w:numId="4" w16cid:durableId="507452911">
    <w:abstractNumId w:val="24"/>
  </w:num>
  <w:num w:numId="5" w16cid:durableId="1634403454">
    <w:abstractNumId w:val="5"/>
    <w:lvlOverride w:ilvl="0">
      <w:startOverride w:val="1"/>
    </w:lvlOverride>
  </w:num>
  <w:num w:numId="6" w16cid:durableId="1997680649">
    <w:abstractNumId w:val="18"/>
  </w:num>
  <w:num w:numId="7" w16cid:durableId="1744453055">
    <w:abstractNumId w:val="20"/>
  </w:num>
  <w:num w:numId="8" w16cid:durableId="138158444">
    <w:abstractNumId w:val="23"/>
  </w:num>
  <w:num w:numId="9" w16cid:durableId="1874686038">
    <w:abstractNumId w:val="26"/>
  </w:num>
  <w:num w:numId="10" w16cid:durableId="1928154559">
    <w:abstractNumId w:val="19"/>
  </w:num>
  <w:num w:numId="11" w16cid:durableId="1047265340">
    <w:abstractNumId w:val="29"/>
  </w:num>
  <w:num w:numId="12" w16cid:durableId="172032437">
    <w:abstractNumId w:val="4"/>
  </w:num>
  <w:num w:numId="13" w16cid:durableId="828056307">
    <w:abstractNumId w:val="7"/>
  </w:num>
  <w:num w:numId="14" w16cid:durableId="1213734560">
    <w:abstractNumId w:val="31"/>
  </w:num>
  <w:num w:numId="15" w16cid:durableId="1109008986">
    <w:abstractNumId w:val="8"/>
  </w:num>
  <w:num w:numId="16" w16cid:durableId="745766215">
    <w:abstractNumId w:val="33"/>
  </w:num>
  <w:num w:numId="17" w16cid:durableId="1182009768">
    <w:abstractNumId w:val="3"/>
  </w:num>
  <w:num w:numId="18" w16cid:durableId="1267543779">
    <w:abstractNumId w:val="5"/>
    <w:lvlOverride w:ilvl="0">
      <w:startOverride w:val="1"/>
    </w:lvlOverride>
  </w:num>
  <w:num w:numId="19" w16cid:durableId="9332542">
    <w:abstractNumId w:val="5"/>
    <w:lvlOverride w:ilvl="0">
      <w:startOverride w:val="1"/>
    </w:lvlOverride>
  </w:num>
  <w:num w:numId="20" w16cid:durableId="1790472250">
    <w:abstractNumId w:val="5"/>
  </w:num>
  <w:num w:numId="21" w16cid:durableId="446697682">
    <w:abstractNumId w:val="5"/>
    <w:lvlOverride w:ilvl="0">
      <w:startOverride w:val="1"/>
    </w:lvlOverride>
  </w:num>
  <w:num w:numId="22" w16cid:durableId="1833058385">
    <w:abstractNumId w:val="25"/>
  </w:num>
  <w:num w:numId="23" w16cid:durableId="278949597">
    <w:abstractNumId w:val="6"/>
  </w:num>
  <w:num w:numId="24" w16cid:durableId="1864241637">
    <w:abstractNumId w:val="22"/>
  </w:num>
  <w:num w:numId="25" w16cid:durableId="2009674737">
    <w:abstractNumId w:val="21"/>
  </w:num>
  <w:num w:numId="26" w16cid:durableId="1617904328">
    <w:abstractNumId w:val="15"/>
  </w:num>
  <w:num w:numId="27" w16cid:durableId="1612737795">
    <w:abstractNumId w:val="30"/>
  </w:num>
  <w:num w:numId="28" w16cid:durableId="1307197016">
    <w:abstractNumId w:val="2"/>
  </w:num>
  <w:num w:numId="29" w16cid:durableId="1678770914">
    <w:abstractNumId w:val="0"/>
  </w:num>
  <w:num w:numId="30" w16cid:durableId="2141605736">
    <w:abstractNumId w:val="14"/>
  </w:num>
  <w:num w:numId="31" w16cid:durableId="1576547918">
    <w:abstractNumId w:val="28"/>
  </w:num>
  <w:num w:numId="32" w16cid:durableId="1191607135">
    <w:abstractNumId w:val="9"/>
  </w:num>
  <w:num w:numId="33" w16cid:durableId="1423405873">
    <w:abstractNumId w:val="16"/>
  </w:num>
  <w:num w:numId="34" w16cid:durableId="918833037">
    <w:abstractNumId w:val="32"/>
  </w:num>
  <w:num w:numId="35" w16cid:durableId="200749988">
    <w:abstractNumId w:val="13"/>
    <w:lvlOverride w:ilvl="0">
      <w:startOverride w:val="3"/>
    </w:lvlOverride>
  </w:num>
  <w:num w:numId="36" w16cid:durableId="1863788348">
    <w:abstractNumId w:val="10"/>
  </w:num>
  <w:num w:numId="37" w16cid:durableId="433209194">
    <w:abstractNumId w:val="27"/>
  </w:num>
  <w:num w:numId="38" w16cid:durableId="1963883618">
    <w:abstractNumId w:val="11"/>
  </w:num>
  <w:num w:numId="39" w16cid:durableId="616060023">
    <w:abstractNumId w:val="1"/>
  </w:num>
  <w:num w:numId="40" w16cid:durableId="2125876951">
    <w:abstractNumId w:val="13"/>
    <w:lvlOverride w:ilvl="0">
      <w:startOverride w:val="2"/>
    </w:lvlOverride>
  </w:num>
  <w:num w:numId="41" w16cid:durableId="1798570519">
    <w:abstractNumId w:val="5"/>
  </w:num>
  <w:num w:numId="42" w16cid:durableId="699236102">
    <w:abstractNumId w:val="13"/>
  </w:num>
  <w:num w:numId="43" w16cid:durableId="1368142885">
    <w:abstractNumId w:val="13"/>
  </w:num>
  <w:num w:numId="44" w16cid:durableId="248275211">
    <w:abstractNumId w:val="17"/>
  </w:num>
  <w:num w:numId="45" w16cid:durableId="203056367">
    <w:abstractNumId w:val="13"/>
    <w:lvlOverride w:ilvl="0">
      <w:startOverride w:val="8"/>
    </w:lvlOverride>
  </w:num>
  <w:num w:numId="46" w16cid:durableId="3055952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displayHorizontalDrawingGridEvery w:val="0"/>
  <w:displayVerticalDrawingGridEvery w:val="0"/>
  <w:doNotUseMarginsForDrawingGridOrigin/>
  <w:noPunctuationKerning/>
  <w:characterSpacingControl w:val="doNotCompress"/>
  <w:savePreviewPicture/>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CEB"/>
    <w:rsid w:val="0000027E"/>
    <w:rsid w:val="000045DA"/>
    <w:rsid w:val="000074AA"/>
    <w:rsid w:val="00007726"/>
    <w:rsid w:val="00011825"/>
    <w:rsid w:val="00012C9E"/>
    <w:rsid w:val="00013D38"/>
    <w:rsid w:val="00015F99"/>
    <w:rsid w:val="000221FC"/>
    <w:rsid w:val="000223C6"/>
    <w:rsid w:val="00023250"/>
    <w:rsid w:val="00024843"/>
    <w:rsid w:val="00026881"/>
    <w:rsid w:val="00030E1C"/>
    <w:rsid w:val="000316E5"/>
    <w:rsid w:val="0003458B"/>
    <w:rsid w:val="00035CAD"/>
    <w:rsid w:val="000367A8"/>
    <w:rsid w:val="0003764E"/>
    <w:rsid w:val="00037B2D"/>
    <w:rsid w:val="00040A83"/>
    <w:rsid w:val="000430FF"/>
    <w:rsid w:val="00043A8C"/>
    <w:rsid w:val="00044818"/>
    <w:rsid w:val="000460E5"/>
    <w:rsid w:val="00052FCA"/>
    <w:rsid w:val="00053508"/>
    <w:rsid w:val="00053768"/>
    <w:rsid w:val="000558D5"/>
    <w:rsid w:val="000616DF"/>
    <w:rsid w:val="0006261B"/>
    <w:rsid w:val="00064C52"/>
    <w:rsid w:val="000667E4"/>
    <w:rsid w:val="000768D3"/>
    <w:rsid w:val="00080CDD"/>
    <w:rsid w:val="00080D1F"/>
    <w:rsid w:val="00082135"/>
    <w:rsid w:val="00082457"/>
    <w:rsid w:val="00082648"/>
    <w:rsid w:val="000837F5"/>
    <w:rsid w:val="00086AAF"/>
    <w:rsid w:val="00090D49"/>
    <w:rsid w:val="00094B0F"/>
    <w:rsid w:val="0009543C"/>
    <w:rsid w:val="0009643D"/>
    <w:rsid w:val="00097885"/>
    <w:rsid w:val="000A0685"/>
    <w:rsid w:val="000A0E7F"/>
    <w:rsid w:val="000A2BBF"/>
    <w:rsid w:val="000A32CD"/>
    <w:rsid w:val="000A3570"/>
    <w:rsid w:val="000A51F1"/>
    <w:rsid w:val="000A58FD"/>
    <w:rsid w:val="000A6CC5"/>
    <w:rsid w:val="000A7282"/>
    <w:rsid w:val="000B0705"/>
    <w:rsid w:val="000B1969"/>
    <w:rsid w:val="000B5570"/>
    <w:rsid w:val="000B6C1F"/>
    <w:rsid w:val="000B77DB"/>
    <w:rsid w:val="000C32B1"/>
    <w:rsid w:val="000C353C"/>
    <w:rsid w:val="000C3A0B"/>
    <w:rsid w:val="000C7182"/>
    <w:rsid w:val="000D0A91"/>
    <w:rsid w:val="000D115E"/>
    <w:rsid w:val="000D1C6E"/>
    <w:rsid w:val="000D1C73"/>
    <w:rsid w:val="000D25C9"/>
    <w:rsid w:val="000D339A"/>
    <w:rsid w:val="000D4B6B"/>
    <w:rsid w:val="000E2736"/>
    <w:rsid w:val="000E5D19"/>
    <w:rsid w:val="000E61F2"/>
    <w:rsid w:val="000E7B82"/>
    <w:rsid w:val="000F1DDE"/>
    <w:rsid w:val="000F2801"/>
    <w:rsid w:val="000F3AC0"/>
    <w:rsid w:val="000F40CB"/>
    <w:rsid w:val="001011E3"/>
    <w:rsid w:val="001018BE"/>
    <w:rsid w:val="00102B76"/>
    <w:rsid w:val="00103039"/>
    <w:rsid w:val="00104AB3"/>
    <w:rsid w:val="00104E0D"/>
    <w:rsid w:val="0010549B"/>
    <w:rsid w:val="00106D23"/>
    <w:rsid w:val="00107712"/>
    <w:rsid w:val="00107DDF"/>
    <w:rsid w:val="0011395C"/>
    <w:rsid w:val="00114204"/>
    <w:rsid w:val="0011424F"/>
    <w:rsid w:val="0011569F"/>
    <w:rsid w:val="00117714"/>
    <w:rsid w:val="0012045C"/>
    <w:rsid w:val="00121C9B"/>
    <w:rsid w:val="001230FB"/>
    <w:rsid w:val="001241CF"/>
    <w:rsid w:val="00135568"/>
    <w:rsid w:val="0013701C"/>
    <w:rsid w:val="001401DA"/>
    <w:rsid w:val="00142827"/>
    <w:rsid w:val="0014347A"/>
    <w:rsid w:val="00143CD2"/>
    <w:rsid w:val="001458E9"/>
    <w:rsid w:val="001462D6"/>
    <w:rsid w:val="00146884"/>
    <w:rsid w:val="00147BFB"/>
    <w:rsid w:val="00151C2D"/>
    <w:rsid w:val="00152D03"/>
    <w:rsid w:val="0015670C"/>
    <w:rsid w:val="00160ACD"/>
    <w:rsid w:val="001733C4"/>
    <w:rsid w:val="00174080"/>
    <w:rsid w:val="00174E8A"/>
    <w:rsid w:val="00180B3A"/>
    <w:rsid w:val="00180F02"/>
    <w:rsid w:val="001811AC"/>
    <w:rsid w:val="00183FE7"/>
    <w:rsid w:val="00184882"/>
    <w:rsid w:val="001851FA"/>
    <w:rsid w:val="00187386"/>
    <w:rsid w:val="001877C5"/>
    <w:rsid w:val="001909EF"/>
    <w:rsid w:val="001916A9"/>
    <w:rsid w:val="0019199E"/>
    <w:rsid w:val="00194AB0"/>
    <w:rsid w:val="00195E1B"/>
    <w:rsid w:val="0019681C"/>
    <w:rsid w:val="00196EB1"/>
    <w:rsid w:val="001A0464"/>
    <w:rsid w:val="001A075B"/>
    <w:rsid w:val="001A20B0"/>
    <w:rsid w:val="001A33FF"/>
    <w:rsid w:val="001A4AD1"/>
    <w:rsid w:val="001A5FB7"/>
    <w:rsid w:val="001A6E44"/>
    <w:rsid w:val="001B0268"/>
    <w:rsid w:val="001B06F6"/>
    <w:rsid w:val="001B162E"/>
    <w:rsid w:val="001B1B45"/>
    <w:rsid w:val="001B1EE1"/>
    <w:rsid w:val="001B358E"/>
    <w:rsid w:val="001B4388"/>
    <w:rsid w:val="001B53B1"/>
    <w:rsid w:val="001B7FD2"/>
    <w:rsid w:val="001C030A"/>
    <w:rsid w:val="001C2F86"/>
    <w:rsid w:val="001C4064"/>
    <w:rsid w:val="001C41F4"/>
    <w:rsid w:val="001C6440"/>
    <w:rsid w:val="001D364F"/>
    <w:rsid w:val="001D3DAE"/>
    <w:rsid w:val="001D416A"/>
    <w:rsid w:val="001D6DFF"/>
    <w:rsid w:val="001D7E12"/>
    <w:rsid w:val="001E133A"/>
    <w:rsid w:val="001E16CE"/>
    <w:rsid w:val="001E2D7E"/>
    <w:rsid w:val="001E3674"/>
    <w:rsid w:val="001E3763"/>
    <w:rsid w:val="001E40C4"/>
    <w:rsid w:val="001E4DDA"/>
    <w:rsid w:val="001E58A6"/>
    <w:rsid w:val="001F0F31"/>
    <w:rsid w:val="001F29FE"/>
    <w:rsid w:val="001F472B"/>
    <w:rsid w:val="001F56D5"/>
    <w:rsid w:val="001F6912"/>
    <w:rsid w:val="00203E89"/>
    <w:rsid w:val="002046E8"/>
    <w:rsid w:val="002054AD"/>
    <w:rsid w:val="002105E2"/>
    <w:rsid w:val="00210984"/>
    <w:rsid w:val="00210F79"/>
    <w:rsid w:val="00211B8F"/>
    <w:rsid w:val="002121E3"/>
    <w:rsid w:val="0021389B"/>
    <w:rsid w:val="00213956"/>
    <w:rsid w:val="0021563F"/>
    <w:rsid w:val="00216035"/>
    <w:rsid w:val="00217C54"/>
    <w:rsid w:val="002200C2"/>
    <w:rsid w:val="00220A7A"/>
    <w:rsid w:val="00221F1E"/>
    <w:rsid w:val="00223D1F"/>
    <w:rsid w:val="00224C00"/>
    <w:rsid w:val="00224CC8"/>
    <w:rsid w:val="002262D9"/>
    <w:rsid w:val="00227124"/>
    <w:rsid w:val="002278B3"/>
    <w:rsid w:val="00230022"/>
    <w:rsid w:val="00232628"/>
    <w:rsid w:val="00232FC3"/>
    <w:rsid w:val="002338EB"/>
    <w:rsid w:val="00240863"/>
    <w:rsid w:val="00243A99"/>
    <w:rsid w:val="002442AF"/>
    <w:rsid w:val="00245893"/>
    <w:rsid w:val="00247EC8"/>
    <w:rsid w:val="00247F88"/>
    <w:rsid w:val="00253647"/>
    <w:rsid w:val="00253AD5"/>
    <w:rsid w:val="00253D4F"/>
    <w:rsid w:val="002550ED"/>
    <w:rsid w:val="0026105D"/>
    <w:rsid w:val="00261232"/>
    <w:rsid w:val="00262537"/>
    <w:rsid w:val="0026255F"/>
    <w:rsid w:val="00263CFE"/>
    <w:rsid w:val="002645FB"/>
    <w:rsid w:val="00265B73"/>
    <w:rsid w:val="00266230"/>
    <w:rsid w:val="002706CE"/>
    <w:rsid w:val="00271292"/>
    <w:rsid w:val="0027570D"/>
    <w:rsid w:val="002770C7"/>
    <w:rsid w:val="00280F01"/>
    <w:rsid w:val="00283354"/>
    <w:rsid w:val="00283BCE"/>
    <w:rsid w:val="00284CDB"/>
    <w:rsid w:val="00285580"/>
    <w:rsid w:val="00287C65"/>
    <w:rsid w:val="0029228A"/>
    <w:rsid w:val="002923B5"/>
    <w:rsid w:val="00295B2E"/>
    <w:rsid w:val="00295CE8"/>
    <w:rsid w:val="00296BB5"/>
    <w:rsid w:val="002A439F"/>
    <w:rsid w:val="002A49A5"/>
    <w:rsid w:val="002A6B16"/>
    <w:rsid w:val="002B0E87"/>
    <w:rsid w:val="002B38B3"/>
    <w:rsid w:val="002B6EAC"/>
    <w:rsid w:val="002B709E"/>
    <w:rsid w:val="002B73A1"/>
    <w:rsid w:val="002C1542"/>
    <w:rsid w:val="002C3CFC"/>
    <w:rsid w:val="002C4234"/>
    <w:rsid w:val="002C5247"/>
    <w:rsid w:val="002C58CA"/>
    <w:rsid w:val="002C669D"/>
    <w:rsid w:val="002C6AE3"/>
    <w:rsid w:val="002D09C7"/>
    <w:rsid w:val="002D1798"/>
    <w:rsid w:val="002D3062"/>
    <w:rsid w:val="002D33F7"/>
    <w:rsid w:val="002E02AD"/>
    <w:rsid w:val="002E02F3"/>
    <w:rsid w:val="002E3092"/>
    <w:rsid w:val="002E69FC"/>
    <w:rsid w:val="002F2F5A"/>
    <w:rsid w:val="002F34A1"/>
    <w:rsid w:val="002F4C83"/>
    <w:rsid w:val="002F5235"/>
    <w:rsid w:val="002F54F8"/>
    <w:rsid w:val="00301061"/>
    <w:rsid w:val="00302B36"/>
    <w:rsid w:val="00302F1F"/>
    <w:rsid w:val="00303E4F"/>
    <w:rsid w:val="00307371"/>
    <w:rsid w:val="00307729"/>
    <w:rsid w:val="00315E1B"/>
    <w:rsid w:val="00316BC1"/>
    <w:rsid w:val="003204C9"/>
    <w:rsid w:val="00320D13"/>
    <w:rsid w:val="00320E9D"/>
    <w:rsid w:val="0032185A"/>
    <w:rsid w:val="00321A1E"/>
    <w:rsid w:val="00321B7E"/>
    <w:rsid w:val="003243E0"/>
    <w:rsid w:val="00324690"/>
    <w:rsid w:val="00325AFD"/>
    <w:rsid w:val="003267FA"/>
    <w:rsid w:val="0033014A"/>
    <w:rsid w:val="00331998"/>
    <w:rsid w:val="00333ED6"/>
    <w:rsid w:val="00336506"/>
    <w:rsid w:val="00336F42"/>
    <w:rsid w:val="00337269"/>
    <w:rsid w:val="003419D8"/>
    <w:rsid w:val="003437BC"/>
    <w:rsid w:val="00343E05"/>
    <w:rsid w:val="0034413F"/>
    <w:rsid w:val="00346C8A"/>
    <w:rsid w:val="00347AF6"/>
    <w:rsid w:val="003518FF"/>
    <w:rsid w:val="0035302C"/>
    <w:rsid w:val="00357B13"/>
    <w:rsid w:val="003602B0"/>
    <w:rsid w:val="00360C3B"/>
    <w:rsid w:val="00363618"/>
    <w:rsid w:val="00364F44"/>
    <w:rsid w:val="00365433"/>
    <w:rsid w:val="003662CD"/>
    <w:rsid w:val="003666EC"/>
    <w:rsid w:val="003703E3"/>
    <w:rsid w:val="00371FE7"/>
    <w:rsid w:val="00374057"/>
    <w:rsid w:val="00374127"/>
    <w:rsid w:val="003757F0"/>
    <w:rsid w:val="00377006"/>
    <w:rsid w:val="00377540"/>
    <w:rsid w:val="003775D5"/>
    <w:rsid w:val="00380642"/>
    <w:rsid w:val="0038420A"/>
    <w:rsid w:val="00384A64"/>
    <w:rsid w:val="0038604A"/>
    <w:rsid w:val="0038631D"/>
    <w:rsid w:val="00390543"/>
    <w:rsid w:val="00392098"/>
    <w:rsid w:val="0039264C"/>
    <w:rsid w:val="00393026"/>
    <w:rsid w:val="0039372C"/>
    <w:rsid w:val="003950A5"/>
    <w:rsid w:val="003954ED"/>
    <w:rsid w:val="003974B3"/>
    <w:rsid w:val="003974EE"/>
    <w:rsid w:val="00397E90"/>
    <w:rsid w:val="003A3AAD"/>
    <w:rsid w:val="003A61D3"/>
    <w:rsid w:val="003A6F3A"/>
    <w:rsid w:val="003A7396"/>
    <w:rsid w:val="003B0F7E"/>
    <w:rsid w:val="003B1046"/>
    <w:rsid w:val="003B1F91"/>
    <w:rsid w:val="003B2A0B"/>
    <w:rsid w:val="003B2D1C"/>
    <w:rsid w:val="003B3AD5"/>
    <w:rsid w:val="003B3ECA"/>
    <w:rsid w:val="003B43DB"/>
    <w:rsid w:val="003C01D6"/>
    <w:rsid w:val="003C1675"/>
    <w:rsid w:val="003C28BC"/>
    <w:rsid w:val="003C4C4A"/>
    <w:rsid w:val="003C6732"/>
    <w:rsid w:val="003C738C"/>
    <w:rsid w:val="003D0355"/>
    <w:rsid w:val="003D150D"/>
    <w:rsid w:val="003D3B89"/>
    <w:rsid w:val="003D44B2"/>
    <w:rsid w:val="003E348D"/>
    <w:rsid w:val="003F14F3"/>
    <w:rsid w:val="003F167B"/>
    <w:rsid w:val="003F5459"/>
    <w:rsid w:val="003F54C3"/>
    <w:rsid w:val="003F7CE6"/>
    <w:rsid w:val="003F7F0E"/>
    <w:rsid w:val="00400E85"/>
    <w:rsid w:val="00401EEE"/>
    <w:rsid w:val="004021F9"/>
    <w:rsid w:val="00403A5D"/>
    <w:rsid w:val="00404982"/>
    <w:rsid w:val="004079DE"/>
    <w:rsid w:val="00412760"/>
    <w:rsid w:val="004163BF"/>
    <w:rsid w:val="00416639"/>
    <w:rsid w:val="00421CB7"/>
    <w:rsid w:val="0042219D"/>
    <w:rsid w:val="0042401F"/>
    <w:rsid w:val="0042406B"/>
    <w:rsid w:val="004257F6"/>
    <w:rsid w:val="00426219"/>
    <w:rsid w:val="0042691B"/>
    <w:rsid w:val="00427E16"/>
    <w:rsid w:val="00433128"/>
    <w:rsid w:val="0043576C"/>
    <w:rsid w:val="00440F3C"/>
    <w:rsid w:val="004428BB"/>
    <w:rsid w:val="00443BD9"/>
    <w:rsid w:val="00444969"/>
    <w:rsid w:val="0044604D"/>
    <w:rsid w:val="00452CC4"/>
    <w:rsid w:val="00454E83"/>
    <w:rsid w:val="004553D5"/>
    <w:rsid w:val="004559D5"/>
    <w:rsid w:val="00455AFA"/>
    <w:rsid w:val="00456292"/>
    <w:rsid w:val="004566F5"/>
    <w:rsid w:val="00456A8A"/>
    <w:rsid w:val="00457BC7"/>
    <w:rsid w:val="00462CEB"/>
    <w:rsid w:val="00463FC8"/>
    <w:rsid w:val="00464D5A"/>
    <w:rsid w:val="00466050"/>
    <w:rsid w:val="00466679"/>
    <w:rsid w:val="00470A61"/>
    <w:rsid w:val="004738E3"/>
    <w:rsid w:val="004754A6"/>
    <w:rsid w:val="00475ED5"/>
    <w:rsid w:val="004777B4"/>
    <w:rsid w:val="0048661A"/>
    <w:rsid w:val="00487243"/>
    <w:rsid w:val="004908B1"/>
    <w:rsid w:val="00490BF1"/>
    <w:rsid w:val="00491479"/>
    <w:rsid w:val="00491488"/>
    <w:rsid w:val="004937A1"/>
    <w:rsid w:val="0049398D"/>
    <w:rsid w:val="00493A6F"/>
    <w:rsid w:val="004A0152"/>
    <w:rsid w:val="004A07C2"/>
    <w:rsid w:val="004A1845"/>
    <w:rsid w:val="004A35EE"/>
    <w:rsid w:val="004A6D2D"/>
    <w:rsid w:val="004B0DA0"/>
    <w:rsid w:val="004B2B3E"/>
    <w:rsid w:val="004B30D0"/>
    <w:rsid w:val="004B77D0"/>
    <w:rsid w:val="004C1C92"/>
    <w:rsid w:val="004C23C9"/>
    <w:rsid w:val="004C2BD9"/>
    <w:rsid w:val="004C2D54"/>
    <w:rsid w:val="004C34A4"/>
    <w:rsid w:val="004C3DCB"/>
    <w:rsid w:val="004C6635"/>
    <w:rsid w:val="004C689F"/>
    <w:rsid w:val="004D0789"/>
    <w:rsid w:val="004D25CC"/>
    <w:rsid w:val="004D26E9"/>
    <w:rsid w:val="004D3B20"/>
    <w:rsid w:val="004D3CC9"/>
    <w:rsid w:val="004D5876"/>
    <w:rsid w:val="004D675B"/>
    <w:rsid w:val="004D6DBF"/>
    <w:rsid w:val="004D7E00"/>
    <w:rsid w:val="004D7E17"/>
    <w:rsid w:val="004E0666"/>
    <w:rsid w:val="004E06E9"/>
    <w:rsid w:val="004E0923"/>
    <w:rsid w:val="004E0C5F"/>
    <w:rsid w:val="004E15B0"/>
    <w:rsid w:val="004E243B"/>
    <w:rsid w:val="004E3A12"/>
    <w:rsid w:val="004E3BC5"/>
    <w:rsid w:val="004E5342"/>
    <w:rsid w:val="004E78F9"/>
    <w:rsid w:val="004E7AF7"/>
    <w:rsid w:val="004F2C29"/>
    <w:rsid w:val="004F665E"/>
    <w:rsid w:val="004F70DA"/>
    <w:rsid w:val="005034DF"/>
    <w:rsid w:val="005057EA"/>
    <w:rsid w:val="00506E9B"/>
    <w:rsid w:val="005119F8"/>
    <w:rsid w:val="005135D5"/>
    <w:rsid w:val="00513AAA"/>
    <w:rsid w:val="0051658B"/>
    <w:rsid w:val="00516FDA"/>
    <w:rsid w:val="00520C4D"/>
    <w:rsid w:val="005239BF"/>
    <w:rsid w:val="00525418"/>
    <w:rsid w:val="00525C27"/>
    <w:rsid w:val="00526D15"/>
    <w:rsid w:val="005270ED"/>
    <w:rsid w:val="00527789"/>
    <w:rsid w:val="00531C44"/>
    <w:rsid w:val="005322F8"/>
    <w:rsid w:val="0053319F"/>
    <w:rsid w:val="0053478D"/>
    <w:rsid w:val="00535292"/>
    <w:rsid w:val="0053532C"/>
    <w:rsid w:val="00541112"/>
    <w:rsid w:val="00541511"/>
    <w:rsid w:val="0055113E"/>
    <w:rsid w:val="00555062"/>
    <w:rsid w:val="00555F80"/>
    <w:rsid w:val="0055657E"/>
    <w:rsid w:val="00556647"/>
    <w:rsid w:val="00557F98"/>
    <w:rsid w:val="00560BB5"/>
    <w:rsid w:val="00561FEF"/>
    <w:rsid w:val="00562D38"/>
    <w:rsid w:val="00564EC3"/>
    <w:rsid w:val="00570DCD"/>
    <w:rsid w:val="00573847"/>
    <w:rsid w:val="005748BF"/>
    <w:rsid w:val="00580898"/>
    <w:rsid w:val="0058282F"/>
    <w:rsid w:val="005873CE"/>
    <w:rsid w:val="00590FC3"/>
    <w:rsid w:val="005910AB"/>
    <w:rsid w:val="005922F8"/>
    <w:rsid w:val="005946DF"/>
    <w:rsid w:val="00594FA6"/>
    <w:rsid w:val="00597C5C"/>
    <w:rsid w:val="00597EDA"/>
    <w:rsid w:val="005A1A0B"/>
    <w:rsid w:val="005A2DC9"/>
    <w:rsid w:val="005A4A80"/>
    <w:rsid w:val="005A5019"/>
    <w:rsid w:val="005A571C"/>
    <w:rsid w:val="005B14B5"/>
    <w:rsid w:val="005B3761"/>
    <w:rsid w:val="005B3897"/>
    <w:rsid w:val="005B5BE2"/>
    <w:rsid w:val="005B5C8C"/>
    <w:rsid w:val="005C34B2"/>
    <w:rsid w:val="005C3C2B"/>
    <w:rsid w:val="005C3F03"/>
    <w:rsid w:val="005C7297"/>
    <w:rsid w:val="005D1323"/>
    <w:rsid w:val="005D50FD"/>
    <w:rsid w:val="005D6F12"/>
    <w:rsid w:val="005E1B03"/>
    <w:rsid w:val="005E21BA"/>
    <w:rsid w:val="005E28D1"/>
    <w:rsid w:val="005E28FB"/>
    <w:rsid w:val="005E3286"/>
    <w:rsid w:val="005E33C3"/>
    <w:rsid w:val="005E3B82"/>
    <w:rsid w:val="005E64BE"/>
    <w:rsid w:val="005E74F7"/>
    <w:rsid w:val="005E77F5"/>
    <w:rsid w:val="005E7C66"/>
    <w:rsid w:val="005F04CB"/>
    <w:rsid w:val="005F0ECE"/>
    <w:rsid w:val="005F0FE0"/>
    <w:rsid w:val="005F109A"/>
    <w:rsid w:val="005F391F"/>
    <w:rsid w:val="005F3995"/>
    <w:rsid w:val="005F4EA2"/>
    <w:rsid w:val="005F7B0C"/>
    <w:rsid w:val="005F7CCF"/>
    <w:rsid w:val="00600E9B"/>
    <w:rsid w:val="00603080"/>
    <w:rsid w:val="006030DA"/>
    <w:rsid w:val="00603446"/>
    <w:rsid w:val="006052DA"/>
    <w:rsid w:val="006074AA"/>
    <w:rsid w:val="006112FA"/>
    <w:rsid w:val="00611D83"/>
    <w:rsid w:val="006154FA"/>
    <w:rsid w:val="00615C18"/>
    <w:rsid w:val="00616158"/>
    <w:rsid w:val="00621475"/>
    <w:rsid w:val="00622365"/>
    <w:rsid w:val="00623978"/>
    <w:rsid w:val="00623F3E"/>
    <w:rsid w:val="00624F0B"/>
    <w:rsid w:val="00626599"/>
    <w:rsid w:val="0063387F"/>
    <w:rsid w:val="00634B2C"/>
    <w:rsid w:val="00635C7A"/>
    <w:rsid w:val="00637458"/>
    <w:rsid w:val="006405C6"/>
    <w:rsid w:val="00642899"/>
    <w:rsid w:val="00642F4E"/>
    <w:rsid w:val="00643B5D"/>
    <w:rsid w:val="00643F9E"/>
    <w:rsid w:val="00646CCC"/>
    <w:rsid w:val="00646E47"/>
    <w:rsid w:val="00646FEE"/>
    <w:rsid w:val="00647819"/>
    <w:rsid w:val="0065274F"/>
    <w:rsid w:val="00653107"/>
    <w:rsid w:val="00653B0F"/>
    <w:rsid w:val="00655317"/>
    <w:rsid w:val="00656B84"/>
    <w:rsid w:val="00662D64"/>
    <w:rsid w:val="00670AA0"/>
    <w:rsid w:val="00670B7B"/>
    <w:rsid w:val="006717EC"/>
    <w:rsid w:val="00672473"/>
    <w:rsid w:val="00677478"/>
    <w:rsid w:val="00680146"/>
    <w:rsid w:val="0068037E"/>
    <w:rsid w:val="00681F1F"/>
    <w:rsid w:val="0068279B"/>
    <w:rsid w:val="0068386D"/>
    <w:rsid w:val="00683AA2"/>
    <w:rsid w:val="006859B6"/>
    <w:rsid w:val="00686334"/>
    <w:rsid w:val="006916F0"/>
    <w:rsid w:val="0069594E"/>
    <w:rsid w:val="00695C90"/>
    <w:rsid w:val="006A17F3"/>
    <w:rsid w:val="006A20A2"/>
    <w:rsid w:val="006A4B85"/>
    <w:rsid w:val="006A58A1"/>
    <w:rsid w:val="006B0148"/>
    <w:rsid w:val="006B059D"/>
    <w:rsid w:val="006B092F"/>
    <w:rsid w:val="006B180D"/>
    <w:rsid w:val="006B3A24"/>
    <w:rsid w:val="006B42CE"/>
    <w:rsid w:val="006B5A4C"/>
    <w:rsid w:val="006B78BE"/>
    <w:rsid w:val="006B7C0C"/>
    <w:rsid w:val="006C0182"/>
    <w:rsid w:val="006C0BE1"/>
    <w:rsid w:val="006C0BFF"/>
    <w:rsid w:val="006C0F40"/>
    <w:rsid w:val="006C224E"/>
    <w:rsid w:val="006D5908"/>
    <w:rsid w:val="006E025B"/>
    <w:rsid w:val="006E0711"/>
    <w:rsid w:val="006E0FD1"/>
    <w:rsid w:val="006E15A1"/>
    <w:rsid w:val="006E1C52"/>
    <w:rsid w:val="006E2490"/>
    <w:rsid w:val="006E47D9"/>
    <w:rsid w:val="006E614D"/>
    <w:rsid w:val="006E6BFF"/>
    <w:rsid w:val="006E70A5"/>
    <w:rsid w:val="006F2328"/>
    <w:rsid w:val="006F33C6"/>
    <w:rsid w:val="006F3A1B"/>
    <w:rsid w:val="006F4DEB"/>
    <w:rsid w:val="006F551A"/>
    <w:rsid w:val="00701130"/>
    <w:rsid w:val="00702BAE"/>
    <w:rsid w:val="0070326A"/>
    <w:rsid w:val="00705001"/>
    <w:rsid w:val="007070AF"/>
    <w:rsid w:val="007106DA"/>
    <w:rsid w:val="00712930"/>
    <w:rsid w:val="00712CB5"/>
    <w:rsid w:val="00713305"/>
    <w:rsid w:val="007133AB"/>
    <w:rsid w:val="00716107"/>
    <w:rsid w:val="00720337"/>
    <w:rsid w:val="00720AAC"/>
    <w:rsid w:val="0072107E"/>
    <w:rsid w:val="00721BD5"/>
    <w:rsid w:val="00723F33"/>
    <w:rsid w:val="007243DE"/>
    <w:rsid w:val="007247BF"/>
    <w:rsid w:val="00727F41"/>
    <w:rsid w:val="007378C6"/>
    <w:rsid w:val="0074109C"/>
    <w:rsid w:val="007416B6"/>
    <w:rsid w:val="0074229C"/>
    <w:rsid w:val="0074265B"/>
    <w:rsid w:val="00743D48"/>
    <w:rsid w:val="00744EA5"/>
    <w:rsid w:val="00746A16"/>
    <w:rsid w:val="00750ED5"/>
    <w:rsid w:val="0075105E"/>
    <w:rsid w:val="00751AD7"/>
    <w:rsid w:val="00753811"/>
    <w:rsid w:val="007544BD"/>
    <w:rsid w:val="00754A5B"/>
    <w:rsid w:val="00755CCB"/>
    <w:rsid w:val="0075609E"/>
    <w:rsid w:val="0075622E"/>
    <w:rsid w:val="00757A5D"/>
    <w:rsid w:val="00760EEC"/>
    <w:rsid w:val="00762059"/>
    <w:rsid w:val="007626CF"/>
    <w:rsid w:val="00762CC7"/>
    <w:rsid w:val="0076346A"/>
    <w:rsid w:val="00763707"/>
    <w:rsid w:val="00766492"/>
    <w:rsid w:val="00766496"/>
    <w:rsid w:val="00766949"/>
    <w:rsid w:val="007669DC"/>
    <w:rsid w:val="00766B2D"/>
    <w:rsid w:val="00767F83"/>
    <w:rsid w:val="00770CBD"/>
    <w:rsid w:val="007720BA"/>
    <w:rsid w:val="00772382"/>
    <w:rsid w:val="007748F4"/>
    <w:rsid w:val="00777984"/>
    <w:rsid w:val="00780BC0"/>
    <w:rsid w:val="00781A29"/>
    <w:rsid w:val="00783114"/>
    <w:rsid w:val="00783233"/>
    <w:rsid w:val="0078360C"/>
    <w:rsid w:val="0078368E"/>
    <w:rsid w:val="0078637B"/>
    <w:rsid w:val="00790967"/>
    <w:rsid w:val="0079423C"/>
    <w:rsid w:val="00794C1C"/>
    <w:rsid w:val="00795D81"/>
    <w:rsid w:val="00795FE9"/>
    <w:rsid w:val="00796A18"/>
    <w:rsid w:val="00797ACC"/>
    <w:rsid w:val="00797EDA"/>
    <w:rsid w:val="007A169B"/>
    <w:rsid w:val="007A3B85"/>
    <w:rsid w:val="007A6AB9"/>
    <w:rsid w:val="007A7A3D"/>
    <w:rsid w:val="007A7E61"/>
    <w:rsid w:val="007B1213"/>
    <w:rsid w:val="007B3598"/>
    <w:rsid w:val="007B3AB2"/>
    <w:rsid w:val="007B5E84"/>
    <w:rsid w:val="007B5F85"/>
    <w:rsid w:val="007B6661"/>
    <w:rsid w:val="007B7405"/>
    <w:rsid w:val="007C06DB"/>
    <w:rsid w:val="007C0F41"/>
    <w:rsid w:val="007C292F"/>
    <w:rsid w:val="007C50DC"/>
    <w:rsid w:val="007C5B35"/>
    <w:rsid w:val="007D2B3A"/>
    <w:rsid w:val="007D3E01"/>
    <w:rsid w:val="007D5247"/>
    <w:rsid w:val="007D55FE"/>
    <w:rsid w:val="007D7AB6"/>
    <w:rsid w:val="007D7BF2"/>
    <w:rsid w:val="007E0B8F"/>
    <w:rsid w:val="007E3505"/>
    <w:rsid w:val="007E4495"/>
    <w:rsid w:val="007E574F"/>
    <w:rsid w:val="007F4F00"/>
    <w:rsid w:val="007F539D"/>
    <w:rsid w:val="007F5DFD"/>
    <w:rsid w:val="007F5FEF"/>
    <w:rsid w:val="007F742E"/>
    <w:rsid w:val="007F7477"/>
    <w:rsid w:val="00800E3A"/>
    <w:rsid w:val="00801A8F"/>
    <w:rsid w:val="00802D71"/>
    <w:rsid w:val="008039E1"/>
    <w:rsid w:val="008052B0"/>
    <w:rsid w:val="00810D6D"/>
    <w:rsid w:val="00813BD3"/>
    <w:rsid w:val="008160F5"/>
    <w:rsid w:val="00817F6F"/>
    <w:rsid w:val="00820BD2"/>
    <w:rsid w:val="00822B40"/>
    <w:rsid w:val="008231FD"/>
    <w:rsid w:val="00823FA1"/>
    <w:rsid w:val="0082426C"/>
    <w:rsid w:val="00824E13"/>
    <w:rsid w:val="00825073"/>
    <w:rsid w:val="00825132"/>
    <w:rsid w:val="0082541F"/>
    <w:rsid w:val="00826986"/>
    <w:rsid w:val="00826AA6"/>
    <w:rsid w:val="00827864"/>
    <w:rsid w:val="00832D72"/>
    <w:rsid w:val="00832D77"/>
    <w:rsid w:val="00833942"/>
    <w:rsid w:val="00833ADD"/>
    <w:rsid w:val="0083564F"/>
    <w:rsid w:val="00835AF5"/>
    <w:rsid w:val="00836EF8"/>
    <w:rsid w:val="00840374"/>
    <w:rsid w:val="008407D1"/>
    <w:rsid w:val="00843D08"/>
    <w:rsid w:val="0084405B"/>
    <w:rsid w:val="008443A2"/>
    <w:rsid w:val="00845657"/>
    <w:rsid w:val="00850131"/>
    <w:rsid w:val="00852583"/>
    <w:rsid w:val="008525A5"/>
    <w:rsid w:val="008527EA"/>
    <w:rsid w:val="00852F13"/>
    <w:rsid w:val="008538E2"/>
    <w:rsid w:val="0085640C"/>
    <w:rsid w:val="00856CFB"/>
    <w:rsid w:val="008616B6"/>
    <w:rsid w:val="0086422F"/>
    <w:rsid w:val="0086464B"/>
    <w:rsid w:val="0086701B"/>
    <w:rsid w:val="0086727D"/>
    <w:rsid w:val="008708C8"/>
    <w:rsid w:val="008747D8"/>
    <w:rsid w:val="00875771"/>
    <w:rsid w:val="00877D39"/>
    <w:rsid w:val="0088135D"/>
    <w:rsid w:val="00882DED"/>
    <w:rsid w:val="0088565F"/>
    <w:rsid w:val="008856B4"/>
    <w:rsid w:val="008856E2"/>
    <w:rsid w:val="00885C89"/>
    <w:rsid w:val="00890722"/>
    <w:rsid w:val="008931C4"/>
    <w:rsid w:val="008958E6"/>
    <w:rsid w:val="008A12ED"/>
    <w:rsid w:val="008A41E4"/>
    <w:rsid w:val="008A48FE"/>
    <w:rsid w:val="008A511F"/>
    <w:rsid w:val="008A5D54"/>
    <w:rsid w:val="008A7468"/>
    <w:rsid w:val="008A7F3B"/>
    <w:rsid w:val="008B1B29"/>
    <w:rsid w:val="008B4538"/>
    <w:rsid w:val="008B542E"/>
    <w:rsid w:val="008B5C49"/>
    <w:rsid w:val="008B60EB"/>
    <w:rsid w:val="008B6CC7"/>
    <w:rsid w:val="008B788A"/>
    <w:rsid w:val="008C5B8F"/>
    <w:rsid w:val="008C6D69"/>
    <w:rsid w:val="008C7D7F"/>
    <w:rsid w:val="008D0CFF"/>
    <w:rsid w:val="008D1664"/>
    <w:rsid w:val="008D40DC"/>
    <w:rsid w:val="008D5480"/>
    <w:rsid w:val="008D58DA"/>
    <w:rsid w:val="008D742A"/>
    <w:rsid w:val="008D7C03"/>
    <w:rsid w:val="008D7FAA"/>
    <w:rsid w:val="008E5EB5"/>
    <w:rsid w:val="008E7120"/>
    <w:rsid w:val="008F2C0B"/>
    <w:rsid w:val="008F3BA0"/>
    <w:rsid w:val="008F6982"/>
    <w:rsid w:val="008F6A2E"/>
    <w:rsid w:val="008F7BA8"/>
    <w:rsid w:val="00901595"/>
    <w:rsid w:val="00902C83"/>
    <w:rsid w:val="00904A8D"/>
    <w:rsid w:val="00904EE1"/>
    <w:rsid w:val="009069D4"/>
    <w:rsid w:val="009102B8"/>
    <w:rsid w:val="00911741"/>
    <w:rsid w:val="00912E8F"/>
    <w:rsid w:val="00914DBA"/>
    <w:rsid w:val="009233EC"/>
    <w:rsid w:val="0092421A"/>
    <w:rsid w:val="0092421F"/>
    <w:rsid w:val="009245D3"/>
    <w:rsid w:val="00925EB0"/>
    <w:rsid w:val="0093233C"/>
    <w:rsid w:val="00932A7E"/>
    <w:rsid w:val="00933C5C"/>
    <w:rsid w:val="00935033"/>
    <w:rsid w:val="009408AA"/>
    <w:rsid w:val="00942F6E"/>
    <w:rsid w:val="0094306D"/>
    <w:rsid w:val="00943F29"/>
    <w:rsid w:val="009446EE"/>
    <w:rsid w:val="00947243"/>
    <w:rsid w:val="0094733A"/>
    <w:rsid w:val="00950749"/>
    <w:rsid w:val="009532BE"/>
    <w:rsid w:val="0095602A"/>
    <w:rsid w:val="009572EC"/>
    <w:rsid w:val="00957D64"/>
    <w:rsid w:val="00961E4E"/>
    <w:rsid w:val="009628D8"/>
    <w:rsid w:val="00962B82"/>
    <w:rsid w:val="00963839"/>
    <w:rsid w:val="00965957"/>
    <w:rsid w:val="00966F73"/>
    <w:rsid w:val="00967A34"/>
    <w:rsid w:val="0097003C"/>
    <w:rsid w:val="00974DB1"/>
    <w:rsid w:val="00977635"/>
    <w:rsid w:val="00977D19"/>
    <w:rsid w:val="009801D4"/>
    <w:rsid w:val="00981100"/>
    <w:rsid w:val="00981368"/>
    <w:rsid w:val="00981523"/>
    <w:rsid w:val="00981978"/>
    <w:rsid w:val="009820B8"/>
    <w:rsid w:val="009849A1"/>
    <w:rsid w:val="009916AA"/>
    <w:rsid w:val="00991882"/>
    <w:rsid w:val="00992B5C"/>
    <w:rsid w:val="0099419A"/>
    <w:rsid w:val="0099448B"/>
    <w:rsid w:val="009961F2"/>
    <w:rsid w:val="00996379"/>
    <w:rsid w:val="00996AF3"/>
    <w:rsid w:val="009A307A"/>
    <w:rsid w:val="009A4264"/>
    <w:rsid w:val="009A5DBA"/>
    <w:rsid w:val="009A609C"/>
    <w:rsid w:val="009B06A8"/>
    <w:rsid w:val="009B3455"/>
    <w:rsid w:val="009B3B6D"/>
    <w:rsid w:val="009B682E"/>
    <w:rsid w:val="009B7A4C"/>
    <w:rsid w:val="009C07D7"/>
    <w:rsid w:val="009C0D8A"/>
    <w:rsid w:val="009C22D1"/>
    <w:rsid w:val="009C4752"/>
    <w:rsid w:val="009C4AD2"/>
    <w:rsid w:val="009C5316"/>
    <w:rsid w:val="009C5671"/>
    <w:rsid w:val="009C5A22"/>
    <w:rsid w:val="009C5B72"/>
    <w:rsid w:val="009C73D0"/>
    <w:rsid w:val="009C752C"/>
    <w:rsid w:val="009C7CFC"/>
    <w:rsid w:val="009D1878"/>
    <w:rsid w:val="009D2771"/>
    <w:rsid w:val="009D27EA"/>
    <w:rsid w:val="009D2B38"/>
    <w:rsid w:val="009D3B15"/>
    <w:rsid w:val="009D4A87"/>
    <w:rsid w:val="009D519C"/>
    <w:rsid w:val="009D562B"/>
    <w:rsid w:val="009D6534"/>
    <w:rsid w:val="009D6E01"/>
    <w:rsid w:val="009E0D9B"/>
    <w:rsid w:val="009E0FAA"/>
    <w:rsid w:val="009E41DE"/>
    <w:rsid w:val="009E53B6"/>
    <w:rsid w:val="009E5A4F"/>
    <w:rsid w:val="009E5AA2"/>
    <w:rsid w:val="009E629D"/>
    <w:rsid w:val="009E62E1"/>
    <w:rsid w:val="009F19B2"/>
    <w:rsid w:val="009F294B"/>
    <w:rsid w:val="009F5456"/>
    <w:rsid w:val="009F6E6A"/>
    <w:rsid w:val="00A0033D"/>
    <w:rsid w:val="00A011EC"/>
    <w:rsid w:val="00A01865"/>
    <w:rsid w:val="00A02471"/>
    <w:rsid w:val="00A05A49"/>
    <w:rsid w:val="00A0651E"/>
    <w:rsid w:val="00A10A82"/>
    <w:rsid w:val="00A10A95"/>
    <w:rsid w:val="00A12187"/>
    <w:rsid w:val="00A14167"/>
    <w:rsid w:val="00A146D8"/>
    <w:rsid w:val="00A1533D"/>
    <w:rsid w:val="00A20ECD"/>
    <w:rsid w:val="00A21450"/>
    <w:rsid w:val="00A22667"/>
    <w:rsid w:val="00A23E1A"/>
    <w:rsid w:val="00A2477E"/>
    <w:rsid w:val="00A25100"/>
    <w:rsid w:val="00A25BE9"/>
    <w:rsid w:val="00A266CE"/>
    <w:rsid w:val="00A370B9"/>
    <w:rsid w:val="00A374B8"/>
    <w:rsid w:val="00A43370"/>
    <w:rsid w:val="00A44C29"/>
    <w:rsid w:val="00A44C94"/>
    <w:rsid w:val="00A45A1F"/>
    <w:rsid w:val="00A46B7B"/>
    <w:rsid w:val="00A477FE"/>
    <w:rsid w:val="00A50706"/>
    <w:rsid w:val="00A533E5"/>
    <w:rsid w:val="00A53FF9"/>
    <w:rsid w:val="00A547BD"/>
    <w:rsid w:val="00A566E1"/>
    <w:rsid w:val="00A56F48"/>
    <w:rsid w:val="00A61C93"/>
    <w:rsid w:val="00A641DD"/>
    <w:rsid w:val="00A65449"/>
    <w:rsid w:val="00A6660B"/>
    <w:rsid w:val="00A71665"/>
    <w:rsid w:val="00A71BA8"/>
    <w:rsid w:val="00A75CD8"/>
    <w:rsid w:val="00A760B1"/>
    <w:rsid w:val="00A80132"/>
    <w:rsid w:val="00A80597"/>
    <w:rsid w:val="00A8090E"/>
    <w:rsid w:val="00A8095E"/>
    <w:rsid w:val="00A81DA4"/>
    <w:rsid w:val="00A83413"/>
    <w:rsid w:val="00A85DB1"/>
    <w:rsid w:val="00A86209"/>
    <w:rsid w:val="00A86666"/>
    <w:rsid w:val="00A91257"/>
    <w:rsid w:val="00A915A7"/>
    <w:rsid w:val="00A917CC"/>
    <w:rsid w:val="00A91A9A"/>
    <w:rsid w:val="00A91F74"/>
    <w:rsid w:val="00A9272F"/>
    <w:rsid w:val="00A93CEE"/>
    <w:rsid w:val="00A93E03"/>
    <w:rsid w:val="00A95362"/>
    <w:rsid w:val="00A97873"/>
    <w:rsid w:val="00A97E3C"/>
    <w:rsid w:val="00AA1C43"/>
    <w:rsid w:val="00AA1E95"/>
    <w:rsid w:val="00AA3372"/>
    <w:rsid w:val="00AA4647"/>
    <w:rsid w:val="00AA5078"/>
    <w:rsid w:val="00AA77E8"/>
    <w:rsid w:val="00AA789C"/>
    <w:rsid w:val="00AB23F5"/>
    <w:rsid w:val="00AB4091"/>
    <w:rsid w:val="00AB48A3"/>
    <w:rsid w:val="00AB5108"/>
    <w:rsid w:val="00AB5A24"/>
    <w:rsid w:val="00AB6466"/>
    <w:rsid w:val="00AB651D"/>
    <w:rsid w:val="00AB665D"/>
    <w:rsid w:val="00AB7AE8"/>
    <w:rsid w:val="00AC0AE3"/>
    <w:rsid w:val="00AC279D"/>
    <w:rsid w:val="00AC4F3C"/>
    <w:rsid w:val="00AC511F"/>
    <w:rsid w:val="00AD025A"/>
    <w:rsid w:val="00AD066A"/>
    <w:rsid w:val="00AD3779"/>
    <w:rsid w:val="00AD5271"/>
    <w:rsid w:val="00AD595D"/>
    <w:rsid w:val="00AD7009"/>
    <w:rsid w:val="00AD7089"/>
    <w:rsid w:val="00AD79CE"/>
    <w:rsid w:val="00AE0EF0"/>
    <w:rsid w:val="00AE1536"/>
    <w:rsid w:val="00AE3D44"/>
    <w:rsid w:val="00AE6E5D"/>
    <w:rsid w:val="00AE7206"/>
    <w:rsid w:val="00AF1A09"/>
    <w:rsid w:val="00AF1AE6"/>
    <w:rsid w:val="00AF1B6C"/>
    <w:rsid w:val="00B00F0C"/>
    <w:rsid w:val="00B012FA"/>
    <w:rsid w:val="00B01B84"/>
    <w:rsid w:val="00B02EA4"/>
    <w:rsid w:val="00B040A0"/>
    <w:rsid w:val="00B05A23"/>
    <w:rsid w:val="00B0633B"/>
    <w:rsid w:val="00B21D64"/>
    <w:rsid w:val="00B234DF"/>
    <w:rsid w:val="00B2462E"/>
    <w:rsid w:val="00B2470B"/>
    <w:rsid w:val="00B25ED8"/>
    <w:rsid w:val="00B2684A"/>
    <w:rsid w:val="00B30101"/>
    <w:rsid w:val="00B34249"/>
    <w:rsid w:val="00B34D85"/>
    <w:rsid w:val="00B35894"/>
    <w:rsid w:val="00B36B8B"/>
    <w:rsid w:val="00B36CF4"/>
    <w:rsid w:val="00B37EE1"/>
    <w:rsid w:val="00B45C97"/>
    <w:rsid w:val="00B46320"/>
    <w:rsid w:val="00B51633"/>
    <w:rsid w:val="00B55120"/>
    <w:rsid w:val="00B5742E"/>
    <w:rsid w:val="00B60265"/>
    <w:rsid w:val="00B636E4"/>
    <w:rsid w:val="00B6374B"/>
    <w:rsid w:val="00B6396F"/>
    <w:rsid w:val="00B63CC7"/>
    <w:rsid w:val="00B66EEB"/>
    <w:rsid w:val="00B67BF9"/>
    <w:rsid w:val="00B70A3F"/>
    <w:rsid w:val="00B71252"/>
    <w:rsid w:val="00B726B7"/>
    <w:rsid w:val="00B7299B"/>
    <w:rsid w:val="00B7324C"/>
    <w:rsid w:val="00B735EA"/>
    <w:rsid w:val="00B75C10"/>
    <w:rsid w:val="00B75EC1"/>
    <w:rsid w:val="00B76A9D"/>
    <w:rsid w:val="00B83027"/>
    <w:rsid w:val="00B83C68"/>
    <w:rsid w:val="00B848F9"/>
    <w:rsid w:val="00B855B3"/>
    <w:rsid w:val="00B906D9"/>
    <w:rsid w:val="00B92B25"/>
    <w:rsid w:val="00B940A2"/>
    <w:rsid w:val="00B967C4"/>
    <w:rsid w:val="00BA27CD"/>
    <w:rsid w:val="00BA536E"/>
    <w:rsid w:val="00BA5D56"/>
    <w:rsid w:val="00BA605E"/>
    <w:rsid w:val="00BA68BD"/>
    <w:rsid w:val="00BA6CB5"/>
    <w:rsid w:val="00BB39A0"/>
    <w:rsid w:val="00BB4AEB"/>
    <w:rsid w:val="00BB6638"/>
    <w:rsid w:val="00BB6791"/>
    <w:rsid w:val="00BB783F"/>
    <w:rsid w:val="00BC0376"/>
    <w:rsid w:val="00BC08FE"/>
    <w:rsid w:val="00BC17DF"/>
    <w:rsid w:val="00BC21DF"/>
    <w:rsid w:val="00BC245D"/>
    <w:rsid w:val="00BC4BE2"/>
    <w:rsid w:val="00BC51B5"/>
    <w:rsid w:val="00BC689D"/>
    <w:rsid w:val="00BD00C1"/>
    <w:rsid w:val="00BD01FC"/>
    <w:rsid w:val="00BD47D6"/>
    <w:rsid w:val="00BD4CA1"/>
    <w:rsid w:val="00BD6623"/>
    <w:rsid w:val="00BE3773"/>
    <w:rsid w:val="00BE4A1B"/>
    <w:rsid w:val="00BE7AFA"/>
    <w:rsid w:val="00BF0D44"/>
    <w:rsid w:val="00BF1107"/>
    <w:rsid w:val="00BF1568"/>
    <w:rsid w:val="00BF25DE"/>
    <w:rsid w:val="00BF29CB"/>
    <w:rsid w:val="00BF4FDE"/>
    <w:rsid w:val="00BF681E"/>
    <w:rsid w:val="00BF692F"/>
    <w:rsid w:val="00BF6B2D"/>
    <w:rsid w:val="00BF7719"/>
    <w:rsid w:val="00C002F3"/>
    <w:rsid w:val="00C019FA"/>
    <w:rsid w:val="00C01DA6"/>
    <w:rsid w:val="00C03178"/>
    <w:rsid w:val="00C03E11"/>
    <w:rsid w:val="00C051B4"/>
    <w:rsid w:val="00C05933"/>
    <w:rsid w:val="00C05C1D"/>
    <w:rsid w:val="00C06490"/>
    <w:rsid w:val="00C06A96"/>
    <w:rsid w:val="00C07ECF"/>
    <w:rsid w:val="00C103B1"/>
    <w:rsid w:val="00C12FED"/>
    <w:rsid w:val="00C144D4"/>
    <w:rsid w:val="00C168CC"/>
    <w:rsid w:val="00C21ECC"/>
    <w:rsid w:val="00C23793"/>
    <w:rsid w:val="00C23FE1"/>
    <w:rsid w:val="00C24A3E"/>
    <w:rsid w:val="00C24DAA"/>
    <w:rsid w:val="00C250B2"/>
    <w:rsid w:val="00C265D4"/>
    <w:rsid w:val="00C267CE"/>
    <w:rsid w:val="00C275D2"/>
    <w:rsid w:val="00C3355A"/>
    <w:rsid w:val="00C355D9"/>
    <w:rsid w:val="00C36A47"/>
    <w:rsid w:val="00C36D29"/>
    <w:rsid w:val="00C37985"/>
    <w:rsid w:val="00C37F8F"/>
    <w:rsid w:val="00C37FA7"/>
    <w:rsid w:val="00C41ABD"/>
    <w:rsid w:val="00C42827"/>
    <w:rsid w:val="00C42DA1"/>
    <w:rsid w:val="00C47214"/>
    <w:rsid w:val="00C50A2E"/>
    <w:rsid w:val="00C51818"/>
    <w:rsid w:val="00C51EC4"/>
    <w:rsid w:val="00C52327"/>
    <w:rsid w:val="00C52350"/>
    <w:rsid w:val="00C539CB"/>
    <w:rsid w:val="00C543B9"/>
    <w:rsid w:val="00C55FD0"/>
    <w:rsid w:val="00C61BFA"/>
    <w:rsid w:val="00C622E3"/>
    <w:rsid w:val="00C643D6"/>
    <w:rsid w:val="00C666F3"/>
    <w:rsid w:val="00C71CE7"/>
    <w:rsid w:val="00C723B9"/>
    <w:rsid w:val="00C72EED"/>
    <w:rsid w:val="00C75211"/>
    <w:rsid w:val="00C75EFC"/>
    <w:rsid w:val="00C76540"/>
    <w:rsid w:val="00C80502"/>
    <w:rsid w:val="00C805CC"/>
    <w:rsid w:val="00C81A5C"/>
    <w:rsid w:val="00C84368"/>
    <w:rsid w:val="00C845EE"/>
    <w:rsid w:val="00C850A1"/>
    <w:rsid w:val="00C8562D"/>
    <w:rsid w:val="00C858B3"/>
    <w:rsid w:val="00C86782"/>
    <w:rsid w:val="00C870F7"/>
    <w:rsid w:val="00C93A57"/>
    <w:rsid w:val="00C945E5"/>
    <w:rsid w:val="00C957C8"/>
    <w:rsid w:val="00C96F97"/>
    <w:rsid w:val="00CA2936"/>
    <w:rsid w:val="00CA366D"/>
    <w:rsid w:val="00CA37E2"/>
    <w:rsid w:val="00CA4CB1"/>
    <w:rsid w:val="00CA58AE"/>
    <w:rsid w:val="00CA73E3"/>
    <w:rsid w:val="00CA761D"/>
    <w:rsid w:val="00CB447A"/>
    <w:rsid w:val="00CB6103"/>
    <w:rsid w:val="00CB6F6D"/>
    <w:rsid w:val="00CB76BA"/>
    <w:rsid w:val="00CC28CD"/>
    <w:rsid w:val="00CC36AF"/>
    <w:rsid w:val="00CC4E15"/>
    <w:rsid w:val="00CD0185"/>
    <w:rsid w:val="00CD2615"/>
    <w:rsid w:val="00CD3454"/>
    <w:rsid w:val="00CD4518"/>
    <w:rsid w:val="00CD4A5F"/>
    <w:rsid w:val="00CD691C"/>
    <w:rsid w:val="00CD6E54"/>
    <w:rsid w:val="00CE05A9"/>
    <w:rsid w:val="00CE0BE9"/>
    <w:rsid w:val="00CE684C"/>
    <w:rsid w:val="00CF0300"/>
    <w:rsid w:val="00CF2BD8"/>
    <w:rsid w:val="00CF3DBE"/>
    <w:rsid w:val="00CF46C1"/>
    <w:rsid w:val="00CF7110"/>
    <w:rsid w:val="00CF779F"/>
    <w:rsid w:val="00D0351C"/>
    <w:rsid w:val="00D03A01"/>
    <w:rsid w:val="00D05B11"/>
    <w:rsid w:val="00D05BF9"/>
    <w:rsid w:val="00D0722F"/>
    <w:rsid w:val="00D07AE9"/>
    <w:rsid w:val="00D12E60"/>
    <w:rsid w:val="00D14A89"/>
    <w:rsid w:val="00D16AC7"/>
    <w:rsid w:val="00D1787D"/>
    <w:rsid w:val="00D21734"/>
    <w:rsid w:val="00D21B6C"/>
    <w:rsid w:val="00D227DA"/>
    <w:rsid w:val="00D22CCA"/>
    <w:rsid w:val="00D23299"/>
    <w:rsid w:val="00D25F15"/>
    <w:rsid w:val="00D27511"/>
    <w:rsid w:val="00D31647"/>
    <w:rsid w:val="00D31CE8"/>
    <w:rsid w:val="00D33B2B"/>
    <w:rsid w:val="00D36BBE"/>
    <w:rsid w:val="00D40A21"/>
    <w:rsid w:val="00D42B1C"/>
    <w:rsid w:val="00D44CA9"/>
    <w:rsid w:val="00D464AE"/>
    <w:rsid w:val="00D46895"/>
    <w:rsid w:val="00D51DB9"/>
    <w:rsid w:val="00D51FBF"/>
    <w:rsid w:val="00D52298"/>
    <w:rsid w:val="00D527F3"/>
    <w:rsid w:val="00D52CE8"/>
    <w:rsid w:val="00D62BBD"/>
    <w:rsid w:val="00D63750"/>
    <w:rsid w:val="00D63D65"/>
    <w:rsid w:val="00D644BC"/>
    <w:rsid w:val="00D648D8"/>
    <w:rsid w:val="00D666B9"/>
    <w:rsid w:val="00D66E36"/>
    <w:rsid w:val="00D70F95"/>
    <w:rsid w:val="00D7185B"/>
    <w:rsid w:val="00D74424"/>
    <w:rsid w:val="00D7620E"/>
    <w:rsid w:val="00D81273"/>
    <w:rsid w:val="00D819BB"/>
    <w:rsid w:val="00D86BF8"/>
    <w:rsid w:val="00D871F7"/>
    <w:rsid w:val="00D902F6"/>
    <w:rsid w:val="00D9074B"/>
    <w:rsid w:val="00D912A6"/>
    <w:rsid w:val="00D92AAD"/>
    <w:rsid w:val="00D92E09"/>
    <w:rsid w:val="00D939A9"/>
    <w:rsid w:val="00D93D1E"/>
    <w:rsid w:val="00D95D03"/>
    <w:rsid w:val="00D96D5B"/>
    <w:rsid w:val="00D96FED"/>
    <w:rsid w:val="00DA1A11"/>
    <w:rsid w:val="00DA209C"/>
    <w:rsid w:val="00DA442E"/>
    <w:rsid w:val="00DA4F35"/>
    <w:rsid w:val="00DA7683"/>
    <w:rsid w:val="00DA776B"/>
    <w:rsid w:val="00DB05BD"/>
    <w:rsid w:val="00DB1F40"/>
    <w:rsid w:val="00DB3C2E"/>
    <w:rsid w:val="00DB3E8C"/>
    <w:rsid w:val="00DB5008"/>
    <w:rsid w:val="00DB7278"/>
    <w:rsid w:val="00DC0972"/>
    <w:rsid w:val="00DC5446"/>
    <w:rsid w:val="00DC65FE"/>
    <w:rsid w:val="00DC7864"/>
    <w:rsid w:val="00DC7BD9"/>
    <w:rsid w:val="00DD0B90"/>
    <w:rsid w:val="00DD5335"/>
    <w:rsid w:val="00DD7431"/>
    <w:rsid w:val="00DE17A4"/>
    <w:rsid w:val="00DE1C4F"/>
    <w:rsid w:val="00DE5C24"/>
    <w:rsid w:val="00DE60EE"/>
    <w:rsid w:val="00DE6196"/>
    <w:rsid w:val="00DF6643"/>
    <w:rsid w:val="00DF7D21"/>
    <w:rsid w:val="00E00252"/>
    <w:rsid w:val="00E00726"/>
    <w:rsid w:val="00E0181D"/>
    <w:rsid w:val="00E01E43"/>
    <w:rsid w:val="00E03CE9"/>
    <w:rsid w:val="00E062A9"/>
    <w:rsid w:val="00E06AB7"/>
    <w:rsid w:val="00E06BDA"/>
    <w:rsid w:val="00E07B10"/>
    <w:rsid w:val="00E10726"/>
    <w:rsid w:val="00E1095B"/>
    <w:rsid w:val="00E117B1"/>
    <w:rsid w:val="00E11EAE"/>
    <w:rsid w:val="00E1301E"/>
    <w:rsid w:val="00E15E1F"/>
    <w:rsid w:val="00E1762B"/>
    <w:rsid w:val="00E22331"/>
    <w:rsid w:val="00E22B5F"/>
    <w:rsid w:val="00E23D24"/>
    <w:rsid w:val="00E242AC"/>
    <w:rsid w:val="00E261D0"/>
    <w:rsid w:val="00E3561E"/>
    <w:rsid w:val="00E358D6"/>
    <w:rsid w:val="00E36AA6"/>
    <w:rsid w:val="00E40AD7"/>
    <w:rsid w:val="00E410F4"/>
    <w:rsid w:val="00E41527"/>
    <w:rsid w:val="00E4153E"/>
    <w:rsid w:val="00E42B77"/>
    <w:rsid w:val="00E45914"/>
    <w:rsid w:val="00E4635E"/>
    <w:rsid w:val="00E51300"/>
    <w:rsid w:val="00E51EE3"/>
    <w:rsid w:val="00E53333"/>
    <w:rsid w:val="00E53FE6"/>
    <w:rsid w:val="00E549D2"/>
    <w:rsid w:val="00E556CD"/>
    <w:rsid w:val="00E60677"/>
    <w:rsid w:val="00E63BA1"/>
    <w:rsid w:val="00E647B3"/>
    <w:rsid w:val="00E64956"/>
    <w:rsid w:val="00E722F6"/>
    <w:rsid w:val="00E739A5"/>
    <w:rsid w:val="00E75BF4"/>
    <w:rsid w:val="00E7775F"/>
    <w:rsid w:val="00E77994"/>
    <w:rsid w:val="00E815D9"/>
    <w:rsid w:val="00E84AEB"/>
    <w:rsid w:val="00E856ED"/>
    <w:rsid w:val="00E94649"/>
    <w:rsid w:val="00E9587A"/>
    <w:rsid w:val="00E976FF"/>
    <w:rsid w:val="00EA016B"/>
    <w:rsid w:val="00EA7D3F"/>
    <w:rsid w:val="00EB10B4"/>
    <w:rsid w:val="00EB1149"/>
    <w:rsid w:val="00EB1416"/>
    <w:rsid w:val="00EB1693"/>
    <w:rsid w:val="00EB4B45"/>
    <w:rsid w:val="00EB6492"/>
    <w:rsid w:val="00EC41D6"/>
    <w:rsid w:val="00EC4BAF"/>
    <w:rsid w:val="00EC547E"/>
    <w:rsid w:val="00EC6747"/>
    <w:rsid w:val="00ED099C"/>
    <w:rsid w:val="00ED0E7D"/>
    <w:rsid w:val="00ED1F86"/>
    <w:rsid w:val="00ED2302"/>
    <w:rsid w:val="00ED48BB"/>
    <w:rsid w:val="00ED53CE"/>
    <w:rsid w:val="00ED621C"/>
    <w:rsid w:val="00ED6556"/>
    <w:rsid w:val="00EE0952"/>
    <w:rsid w:val="00EE28E6"/>
    <w:rsid w:val="00EE3DE3"/>
    <w:rsid w:val="00EE565C"/>
    <w:rsid w:val="00EE641E"/>
    <w:rsid w:val="00EE7793"/>
    <w:rsid w:val="00EF0103"/>
    <w:rsid w:val="00EF0839"/>
    <w:rsid w:val="00EF212E"/>
    <w:rsid w:val="00EF3BDE"/>
    <w:rsid w:val="00EF468C"/>
    <w:rsid w:val="00EF6931"/>
    <w:rsid w:val="00EF708E"/>
    <w:rsid w:val="00EF71CF"/>
    <w:rsid w:val="00F0002F"/>
    <w:rsid w:val="00F01918"/>
    <w:rsid w:val="00F02A1D"/>
    <w:rsid w:val="00F02E4F"/>
    <w:rsid w:val="00F07DBC"/>
    <w:rsid w:val="00F102B7"/>
    <w:rsid w:val="00F138F3"/>
    <w:rsid w:val="00F155E6"/>
    <w:rsid w:val="00F1613D"/>
    <w:rsid w:val="00F163F0"/>
    <w:rsid w:val="00F166C2"/>
    <w:rsid w:val="00F218D7"/>
    <w:rsid w:val="00F22007"/>
    <w:rsid w:val="00F225D3"/>
    <w:rsid w:val="00F22B97"/>
    <w:rsid w:val="00F22DBD"/>
    <w:rsid w:val="00F2340A"/>
    <w:rsid w:val="00F2344D"/>
    <w:rsid w:val="00F240AF"/>
    <w:rsid w:val="00F26DEB"/>
    <w:rsid w:val="00F30354"/>
    <w:rsid w:val="00F30D7A"/>
    <w:rsid w:val="00F310BA"/>
    <w:rsid w:val="00F31296"/>
    <w:rsid w:val="00F31595"/>
    <w:rsid w:val="00F35C40"/>
    <w:rsid w:val="00F36DBF"/>
    <w:rsid w:val="00F403F9"/>
    <w:rsid w:val="00F408EE"/>
    <w:rsid w:val="00F40A9E"/>
    <w:rsid w:val="00F41CC7"/>
    <w:rsid w:val="00F45F6A"/>
    <w:rsid w:val="00F5135D"/>
    <w:rsid w:val="00F51997"/>
    <w:rsid w:val="00F51D89"/>
    <w:rsid w:val="00F52851"/>
    <w:rsid w:val="00F53764"/>
    <w:rsid w:val="00F53D3F"/>
    <w:rsid w:val="00F54F49"/>
    <w:rsid w:val="00F565A1"/>
    <w:rsid w:val="00F565BA"/>
    <w:rsid w:val="00F57CAB"/>
    <w:rsid w:val="00F60BE7"/>
    <w:rsid w:val="00F61BE9"/>
    <w:rsid w:val="00F620F0"/>
    <w:rsid w:val="00F62BD5"/>
    <w:rsid w:val="00F62FED"/>
    <w:rsid w:val="00F676E1"/>
    <w:rsid w:val="00F771D2"/>
    <w:rsid w:val="00F77DD2"/>
    <w:rsid w:val="00F83102"/>
    <w:rsid w:val="00F8335C"/>
    <w:rsid w:val="00F84B81"/>
    <w:rsid w:val="00F84C39"/>
    <w:rsid w:val="00F87072"/>
    <w:rsid w:val="00F911FA"/>
    <w:rsid w:val="00F913F5"/>
    <w:rsid w:val="00F92178"/>
    <w:rsid w:val="00FA21DB"/>
    <w:rsid w:val="00FA2208"/>
    <w:rsid w:val="00FA32A2"/>
    <w:rsid w:val="00FA38D1"/>
    <w:rsid w:val="00FA629E"/>
    <w:rsid w:val="00FB0C55"/>
    <w:rsid w:val="00FB0DD2"/>
    <w:rsid w:val="00FB2104"/>
    <w:rsid w:val="00FB37B6"/>
    <w:rsid w:val="00FB3B01"/>
    <w:rsid w:val="00FB3E52"/>
    <w:rsid w:val="00FB5538"/>
    <w:rsid w:val="00FB5646"/>
    <w:rsid w:val="00FB6A67"/>
    <w:rsid w:val="00FC0BFF"/>
    <w:rsid w:val="00FC1E85"/>
    <w:rsid w:val="00FC28BD"/>
    <w:rsid w:val="00FC4D65"/>
    <w:rsid w:val="00FC5908"/>
    <w:rsid w:val="00FC5B09"/>
    <w:rsid w:val="00FC68D9"/>
    <w:rsid w:val="00FC6FF7"/>
    <w:rsid w:val="00FC7D3E"/>
    <w:rsid w:val="00FD012F"/>
    <w:rsid w:val="00FD046A"/>
    <w:rsid w:val="00FD056F"/>
    <w:rsid w:val="00FD0A88"/>
    <w:rsid w:val="00FD33FC"/>
    <w:rsid w:val="00FD53AF"/>
    <w:rsid w:val="00FD71C3"/>
    <w:rsid w:val="00FE689D"/>
    <w:rsid w:val="00FE76F8"/>
    <w:rsid w:val="00FF092B"/>
    <w:rsid w:val="00FF427B"/>
    <w:rsid w:val="00FF5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oNotEmbedSmartTags/>
  <w:decimalSymbol w:val="."/>
  <w:listSeparator w:val=","/>
  <w14:docId w14:val="7431F5EC"/>
  <w15:chartTrackingRefBased/>
  <w15:docId w15:val="{CA160ED9-3A60-41CB-922B-7A2DBED43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9EF"/>
    <w:pPr>
      <w:jc w:val="both"/>
    </w:pPr>
  </w:style>
  <w:style w:type="paragraph" w:styleId="Heading1">
    <w:name w:val="heading 1"/>
    <w:basedOn w:val="Normal"/>
    <w:next w:val="Text"/>
    <w:link w:val="Heading1Char"/>
    <w:uiPriority w:val="9"/>
    <w:qFormat/>
    <w:rsid w:val="00AE1536"/>
    <w:pPr>
      <w:keepNext/>
      <w:numPr>
        <w:numId w:val="2"/>
      </w:numPr>
      <w:tabs>
        <w:tab w:val="clear" w:pos="2250"/>
        <w:tab w:val="num" w:pos="6120"/>
      </w:tabs>
      <w:spacing w:before="240" w:after="240"/>
      <w:ind w:left="5760"/>
      <w:jc w:val="center"/>
      <w:outlineLvl w:val="0"/>
    </w:pPr>
    <w:rPr>
      <w:b/>
      <w:kern w:val="32"/>
      <w:sz w:val="22"/>
    </w:rPr>
  </w:style>
  <w:style w:type="paragraph" w:styleId="Heading2">
    <w:name w:val="heading 2"/>
    <w:basedOn w:val="Normal"/>
    <w:next w:val="Text"/>
    <w:link w:val="Heading2Char"/>
    <w:uiPriority w:val="9"/>
    <w:qFormat/>
    <w:pPr>
      <w:numPr>
        <w:numId w:val="20"/>
      </w:numPr>
      <w:tabs>
        <w:tab w:val="left" w:pos="288"/>
      </w:tabs>
      <w:spacing w:before="240"/>
      <w:outlineLvl w:val="1"/>
    </w:pPr>
    <w:rPr>
      <w:b/>
    </w:rPr>
  </w:style>
  <w:style w:type="paragraph" w:styleId="Heading3">
    <w:name w:val="heading 3"/>
    <w:basedOn w:val="Normal"/>
    <w:next w:val="Text"/>
    <w:link w:val="Heading3Char"/>
    <w:qFormat/>
    <w:pPr>
      <w:keepNext/>
      <w:numPr>
        <w:numId w:val="17"/>
      </w:numPr>
      <w:tabs>
        <w:tab w:val="clear" w:pos="648"/>
        <w:tab w:val="left" w:pos="288"/>
      </w:tabs>
      <w:ind w:left="0" w:firstLine="0"/>
      <w:outlineLvl w:val="2"/>
    </w:pPr>
    <w:rPr>
      <w:i/>
    </w:rPr>
  </w:style>
  <w:style w:type="paragraph" w:styleId="Heading4">
    <w:name w:val="heading 4"/>
    <w:basedOn w:val="Normal"/>
    <w:next w:val="Normal"/>
    <w:qFormat/>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autoSpaceDE w:val="0"/>
      <w:autoSpaceDN w:val="0"/>
    </w:pPr>
  </w:style>
  <w:style w:type="paragraph" w:styleId="Title">
    <w:name w:val="Title"/>
    <w:basedOn w:val="Normal"/>
    <w:next w:val="AuthorNames"/>
    <w:qFormat/>
    <w:pPr>
      <w:spacing w:after="480"/>
      <w:jc w:val="center"/>
      <w:outlineLvl w:val="0"/>
    </w:pPr>
    <w:rPr>
      <w:b/>
      <w:kern w:val="28"/>
      <w:sz w:val="36"/>
    </w:rPr>
  </w:style>
  <w:style w:type="paragraph" w:customStyle="1" w:styleId="AuthorNames">
    <w:name w:val="Author Names"/>
    <w:basedOn w:val="Normal"/>
    <w:next w:val="AuthorAffiliations"/>
    <w:pPr>
      <w:jc w:val="center"/>
    </w:pPr>
  </w:style>
  <w:style w:type="paragraph" w:customStyle="1" w:styleId="Abstract">
    <w:name w:val="Abstract"/>
    <w:basedOn w:val="Normal"/>
    <w:next w:val="Heading1"/>
    <w:pPr>
      <w:spacing w:before="480" w:after="480"/>
      <w:ind w:left="720" w:right="720" w:firstLine="288"/>
    </w:pPr>
    <w:rPr>
      <w:b/>
    </w:rPr>
  </w:style>
  <w:style w:type="character" w:styleId="FootnoteReference">
    <w:name w:val="footnote reference"/>
    <w:rPr>
      <w:sz w:val="20"/>
      <w:vertAlign w:val="superscript"/>
    </w:rPr>
  </w:style>
  <w:style w:type="paragraph" w:customStyle="1" w:styleId="Nomenclature">
    <w:name w:val="Nomenclature"/>
    <w:basedOn w:val="Normal"/>
    <w:pPr>
      <w:widowControl w:val="0"/>
      <w:tabs>
        <w:tab w:val="left" w:pos="864"/>
        <w:tab w:val="left" w:pos="1152"/>
      </w:tabs>
    </w:pPr>
  </w:style>
  <w:style w:type="paragraph" w:customStyle="1" w:styleId="AuthorAffiliations">
    <w:name w:val="Author Affiliations"/>
    <w:basedOn w:val="Normal"/>
    <w:next w:val="AuthorNames"/>
    <w:pPr>
      <w:spacing w:after="240"/>
      <w:jc w:val="center"/>
    </w:pPr>
    <w:rPr>
      <w:i/>
    </w:rPr>
  </w:style>
  <w:style w:type="character" w:styleId="Hyperlink">
    <w:name w:val="Hyperlink"/>
    <w:rPr>
      <w:rFonts w:ascii="Times New Roman" w:hAnsi="Times New Roman"/>
      <w:color w:val="auto"/>
      <w:sz w:val="20"/>
      <w:u w:val="single"/>
    </w:rPr>
  </w:style>
  <w:style w:type="paragraph" w:customStyle="1" w:styleId="Text">
    <w:name w:val="Text"/>
    <w:basedOn w:val="Normal"/>
    <w:rsid w:val="0067476A"/>
    <w:pPr>
      <w:tabs>
        <w:tab w:val="left" w:pos="288"/>
      </w:tabs>
      <w:spacing w:line="480" w:lineRule="auto"/>
      <w:ind w:firstLine="288"/>
    </w:pPr>
  </w:style>
  <w:style w:type="paragraph" w:customStyle="1" w:styleId="Equation">
    <w:name w:val="Equation"/>
    <w:basedOn w:val="Normal"/>
    <w:next w:val="Text"/>
    <w:link w:val="EquationChar"/>
    <w:autoRedefine/>
    <w:rsid w:val="00981100"/>
    <w:pPr>
      <w:tabs>
        <w:tab w:val="center" w:pos="4680"/>
        <w:tab w:val="right" w:pos="9360"/>
      </w:tabs>
      <w:spacing w:before="240" w:after="240"/>
      <w:jc w:val="right"/>
    </w:pPr>
    <w:rPr>
      <w:rFonts w:eastAsia="Times"/>
      <w:noProof/>
      <w:color w:val="EE0000"/>
      <w:position w:val="-8"/>
    </w:rPr>
  </w:style>
  <w:style w:type="paragraph" w:customStyle="1" w:styleId="BibliographicalReferenceNumbers">
    <w:name w:val="Bibliographical Reference Numbers"/>
    <w:basedOn w:val="Normal"/>
    <w:next w:val="Text"/>
    <w:rPr>
      <w:vertAlign w:val="superscript"/>
    </w:rPr>
  </w:style>
  <w:style w:type="paragraph" w:customStyle="1" w:styleId="Figure">
    <w:name w:val="Figure"/>
    <w:basedOn w:val="Normal"/>
    <w:next w:val="Text"/>
    <w:pPr>
      <w:framePr w:hSpace="187" w:vSpace="187" w:wrap="around" w:vAnchor="text" w:hAnchor="text" w:y="1"/>
      <w:jc w:val="center"/>
    </w:pPr>
    <w:rPr>
      <w:b/>
    </w:rPr>
  </w:style>
  <w:style w:type="paragraph" w:customStyle="1" w:styleId="References">
    <w:name w:val="References"/>
    <w:basedOn w:val="Normal"/>
    <w:link w:val="ReferencesChar"/>
    <w:pPr>
      <w:ind w:firstLine="288"/>
    </w:pPr>
    <w:rPr>
      <w:sz w:val="18"/>
    </w:rPr>
  </w:style>
  <w:style w:type="paragraph" w:styleId="FootnoteText">
    <w:name w:val="footnote text"/>
    <w:basedOn w:val="Normal"/>
  </w:style>
  <w:style w:type="paragraph" w:customStyle="1" w:styleId="Footnote">
    <w:name w:val="Footnote"/>
    <w:basedOn w:val="Normal"/>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styleId="FollowedHyperlink">
    <w:name w:val="FollowedHyperlink"/>
    <w:rPr>
      <w:color w:val="800080"/>
      <w:u w:val="single"/>
    </w:rPr>
  </w:style>
  <w:style w:type="paragraph" w:styleId="Caption">
    <w:name w:val="caption"/>
    <w:basedOn w:val="Normal"/>
    <w:next w:val="Normal"/>
    <w:qFormat/>
    <w:pPr>
      <w:spacing w:before="120" w:after="120"/>
    </w:pPr>
    <w:rPr>
      <w:b/>
    </w:rPr>
  </w:style>
  <w:style w:type="paragraph" w:customStyle="1" w:styleId="StyleAbstractLinespacingDouble">
    <w:name w:val="Style Abstract + Line spacing:  Double"/>
    <w:basedOn w:val="Abstract"/>
    <w:rsid w:val="00224C00"/>
    <w:pPr>
      <w:spacing w:before="240" w:after="240" w:line="480" w:lineRule="auto"/>
    </w:pPr>
    <w:rPr>
      <w:bCs/>
    </w:rPr>
  </w:style>
  <w:style w:type="paragraph" w:customStyle="1" w:styleId="StyleAbstractLinespacingDouble1">
    <w:name w:val="Style Abstract + Line spacing:  Double1"/>
    <w:basedOn w:val="Abstract"/>
    <w:rsid w:val="00224C00"/>
    <w:pPr>
      <w:spacing w:line="480" w:lineRule="auto"/>
    </w:pPr>
    <w:rPr>
      <w:bCs/>
    </w:rPr>
  </w:style>
  <w:style w:type="paragraph" w:styleId="BalloonText">
    <w:name w:val="Balloon Text"/>
    <w:basedOn w:val="Normal"/>
    <w:link w:val="BalloonTextChar"/>
    <w:uiPriority w:val="99"/>
    <w:semiHidden/>
    <w:unhideWhenUsed/>
    <w:rsid w:val="002121E3"/>
    <w:rPr>
      <w:rFonts w:ascii="Segoe UI" w:hAnsi="Segoe UI" w:cs="Segoe UI"/>
      <w:sz w:val="18"/>
      <w:szCs w:val="18"/>
    </w:rPr>
  </w:style>
  <w:style w:type="character" w:customStyle="1" w:styleId="BalloonTextChar">
    <w:name w:val="Balloon Text Char"/>
    <w:link w:val="BalloonText"/>
    <w:uiPriority w:val="99"/>
    <w:semiHidden/>
    <w:rsid w:val="002121E3"/>
    <w:rPr>
      <w:rFonts w:ascii="Segoe UI" w:hAnsi="Segoe UI" w:cs="Segoe UI"/>
      <w:sz w:val="18"/>
      <w:szCs w:val="18"/>
    </w:rPr>
  </w:style>
  <w:style w:type="character" w:styleId="CommentReference">
    <w:name w:val="annotation reference"/>
    <w:basedOn w:val="DefaultParagraphFont"/>
    <w:uiPriority w:val="99"/>
    <w:semiHidden/>
    <w:unhideWhenUsed/>
    <w:rsid w:val="00AF1B6C"/>
    <w:rPr>
      <w:sz w:val="16"/>
      <w:szCs w:val="16"/>
    </w:rPr>
  </w:style>
  <w:style w:type="paragraph" w:styleId="CommentText">
    <w:name w:val="annotation text"/>
    <w:basedOn w:val="Normal"/>
    <w:link w:val="CommentTextChar"/>
    <w:uiPriority w:val="99"/>
    <w:semiHidden/>
    <w:unhideWhenUsed/>
    <w:rsid w:val="00AF1B6C"/>
  </w:style>
  <w:style w:type="character" w:customStyle="1" w:styleId="CommentTextChar">
    <w:name w:val="Comment Text Char"/>
    <w:basedOn w:val="DefaultParagraphFont"/>
    <w:link w:val="CommentText"/>
    <w:uiPriority w:val="99"/>
    <w:semiHidden/>
    <w:rsid w:val="00AF1B6C"/>
  </w:style>
  <w:style w:type="paragraph" w:styleId="CommentSubject">
    <w:name w:val="annotation subject"/>
    <w:basedOn w:val="CommentText"/>
    <w:next w:val="CommentText"/>
    <w:link w:val="CommentSubjectChar"/>
    <w:uiPriority w:val="99"/>
    <w:semiHidden/>
    <w:unhideWhenUsed/>
    <w:rsid w:val="00AF1B6C"/>
    <w:rPr>
      <w:b/>
      <w:bCs/>
    </w:rPr>
  </w:style>
  <w:style w:type="character" w:customStyle="1" w:styleId="CommentSubjectChar">
    <w:name w:val="Comment Subject Char"/>
    <w:basedOn w:val="CommentTextChar"/>
    <w:link w:val="CommentSubject"/>
    <w:uiPriority w:val="99"/>
    <w:semiHidden/>
    <w:rsid w:val="00AF1B6C"/>
    <w:rPr>
      <w:b/>
      <w:bCs/>
    </w:rPr>
  </w:style>
  <w:style w:type="paragraph" w:styleId="ListParagraph">
    <w:name w:val="List Paragraph"/>
    <w:basedOn w:val="Normal"/>
    <w:uiPriority w:val="34"/>
    <w:qFormat/>
    <w:rsid w:val="00C71CE7"/>
    <w:pPr>
      <w:ind w:left="720"/>
      <w:jc w:val="left"/>
    </w:pPr>
    <w:rPr>
      <w:rFonts w:ascii="Calibri" w:eastAsiaTheme="minorHAnsi" w:hAnsi="Calibri"/>
      <w:sz w:val="22"/>
      <w:szCs w:val="22"/>
    </w:rPr>
  </w:style>
  <w:style w:type="character" w:customStyle="1" w:styleId="FooterChar">
    <w:name w:val="Footer Char"/>
    <w:basedOn w:val="DefaultParagraphFont"/>
    <w:link w:val="Footer"/>
    <w:uiPriority w:val="99"/>
    <w:rsid w:val="000C353C"/>
  </w:style>
  <w:style w:type="character" w:customStyle="1" w:styleId="UnresolvedMention1">
    <w:name w:val="Unresolved Mention1"/>
    <w:basedOn w:val="DefaultParagraphFont"/>
    <w:uiPriority w:val="99"/>
    <w:semiHidden/>
    <w:unhideWhenUsed/>
    <w:rsid w:val="00A1533D"/>
    <w:rPr>
      <w:color w:val="808080"/>
      <w:shd w:val="clear" w:color="auto" w:fill="E6E6E6"/>
    </w:rPr>
  </w:style>
  <w:style w:type="character" w:styleId="UnresolvedMention">
    <w:name w:val="Unresolved Mention"/>
    <w:basedOn w:val="DefaultParagraphFont"/>
    <w:uiPriority w:val="99"/>
    <w:semiHidden/>
    <w:unhideWhenUsed/>
    <w:rsid w:val="001F56D5"/>
    <w:rPr>
      <w:color w:val="605E5C"/>
      <w:shd w:val="clear" w:color="auto" w:fill="E1DFDD"/>
    </w:rPr>
  </w:style>
  <w:style w:type="paragraph" w:customStyle="1" w:styleId="whitespace-pre-wrap">
    <w:name w:val="whitespace-pre-wrap"/>
    <w:basedOn w:val="Normal"/>
    <w:rsid w:val="00712930"/>
    <w:pPr>
      <w:spacing w:before="100" w:beforeAutospacing="1" w:after="100" w:afterAutospacing="1"/>
      <w:jc w:val="left"/>
    </w:pPr>
    <w:rPr>
      <w:sz w:val="24"/>
      <w:szCs w:val="24"/>
    </w:rPr>
  </w:style>
  <w:style w:type="paragraph" w:customStyle="1" w:styleId="whitespace-normal">
    <w:name w:val="whitespace-normal"/>
    <w:basedOn w:val="Normal"/>
    <w:rsid w:val="00712930"/>
    <w:pPr>
      <w:spacing w:before="100" w:beforeAutospacing="1" w:after="100" w:afterAutospacing="1"/>
      <w:jc w:val="left"/>
    </w:pPr>
    <w:rPr>
      <w:sz w:val="24"/>
      <w:szCs w:val="24"/>
    </w:rPr>
  </w:style>
  <w:style w:type="character" w:styleId="PlaceholderText">
    <w:name w:val="Placeholder Text"/>
    <w:basedOn w:val="DefaultParagraphFont"/>
    <w:uiPriority w:val="99"/>
    <w:semiHidden/>
    <w:rsid w:val="00F102B7"/>
    <w:rPr>
      <w:color w:val="666666"/>
    </w:rPr>
  </w:style>
  <w:style w:type="character" w:customStyle="1" w:styleId="Heading1Char">
    <w:name w:val="Heading 1 Char"/>
    <w:basedOn w:val="DefaultParagraphFont"/>
    <w:link w:val="Heading1"/>
    <w:uiPriority w:val="9"/>
    <w:rsid w:val="001E40C4"/>
    <w:rPr>
      <w:b/>
      <w:kern w:val="32"/>
      <w:sz w:val="22"/>
    </w:rPr>
  </w:style>
  <w:style w:type="character" w:customStyle="1" w:styleId="Heading3Char">
    <w:name w:val="Heading 3 Char"/>
    <w:basedOn w:val="DefaultParagraphFont"/>
    <w:link w:val="Heading3"/>
    <w:rsid w:val="00CC28CD"/>
    <w:rPr>
      <w:i/>
    </w:rPr>
  </w:style>
  <w:style w:type="character" w:customStyle="1" w:styleId="ReferencesChar">
    <w:name w:val="References Char"/>
    <w:basedOn w:val="DefaultParagraphFont"/>
    <w:link w:val="References"/>
    <w:rsid w:val="00766496"/>
    <w:rPr>
      <w:sz w:val="18"/>
    </w:rPr>
  </w:style>
  <w:style w:type="character" w:customStyle="1" w:styleId="Heading2Char">
    <w:name w:val="Heading 2 Char"/>
    <w:basedOn w:val="DefaultParagraphFont"/>
    <w:link w:val="Heading2"/>
    <w:uiPriority w:val="9"/>
    <w:rsid w:val="002B6EAC"/>
    <w:rPr>
      <w:b/>
    </w:rPr>
  </w:style>
  <w:style w:type="paragraph" w:customStyle="1" w:styleId="font-claude-response-body">
    <w:name w:val="font-claude-response-body"/>
    <w:basedOn w:val="Normal"/>
    <w:rsid w:val="00CD3454"/>
    <w:pPr>
      <w:spacing w:before="100" w:beforeAutospacing="1" w:after="100" w:afterAutospacing="1"/>
      <w:jc w:val="left"/>
    </w:pPr>
    <w:rPr>
      <w:sz w:val="24"/>
      <w:szCs w:val="24"/>
    </w:rPr>
  </w:style>
  <w:style w:type="character" w:styleId="Emphasis">
    <w:name w:val="Emphasis"/>
    <w:basedOn w:val="DefaultParagraphFont"/>
    <w:uiPriority w:val="20"/>
    <w:qFormat/>
    <w:rsid w:val="005A4A80"/>
    <w:rPr>
      <w:i/>
      <w:iCs/>
    </w:rPr>
  </w:style>
  <w:style w:type="character" w:customStyle="1" w:styleId="MTEquationSection">
    <w:name w:val="MTEquationSection"/>
    <w:basedOn w:val="DefaultParagraphFont"/>
    <w:rsid w:val="00283354"/>
    <w:rPr>
      <w:vanish/>
      <w:color w:val="FF0000"/>
      <w:sz w:val="48"/>
      <w:szCs w:val="48"/>
    </w:rPr>
  </w:style>
  <w:style w:type="paragraph" w:customStyle="1" w:styleId="MTDisplayEquation">
    <w:name w:val="MTDisplayEquation"/>
    <w:basedOn w:val="Equation"/>
    <w:next w:val="Normal"/>
    <w:link w:val="MTDisplayEquationChar"/>
    <w:rsid w:val="00283354"/>
  </w:style>
  <w:style w:type="character" w:customStyle="1" w:styleId="EquationChar">
    <w:name w:val="Equation Char"/>
    <w:basedOn w:val="DefaultParagraphFont"/>
    <w:link w:val="Equation"/>
    <w:rsid w:val="00981100"/>
    <w:rPr>
      <w:rFonts w:eastAsia="Times"/>
      <w:noProof/>
      <w:color w:val="EE0000"/>
      <w:position w:val="-8"/>
    </w:rPr>
  </w:style>
  <w:style w:type="character" w:customStyle="1" w:styleId="MTDisplayEquationChar">
    <w:name w:val="MTDisplayEquation Char"/>
    <w:basedOn w:val="EquationChar"/>
    <w:link w:val="MTDisplayEquation"/>
    <w:rsid w:val="00283354"/>
    <w:rPr>
      <w:rFonts w:eastAsia="Times"/>
      <w:noProof/>
      <w:color w:val="EE0000"/>
      <w:position w:val="-8"/>
    </w:rPr>
  </w:style>
  <w:style w:type="character" w:styleId="Strong">
    <w:name w:val="Strong"/>
    <w:basedOn w:val="DefaultParagraphFont"/>
    <w:uiPriority w:val="22"/>
    <w:qFormat/>
    <w:rsid w:val="008A7F3B"/>
    <w:rPr>
      <w:b/>
      <w:bCs/>
    </w:rPr>
  </w:style>
  <w:style w:type="table" w:styleId="TableGrid">
    <w:name w:val="Table Grid"/>
    <w:basedOn w:val="TableNormal"/>
    <w:uiPriority w:val="39"/>
    <w:rsid w:val="00226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51712">
      <w:bodyDiv w:val="1"/>
      <w:marLeft w:val="0"/>
      <w:marRight w:val="0"/>
      <w:marTop w:val="0"/>
      <w:marBottom w:val="0"/>
      <w:divBdr>
        <w:top w:val="none" w:sz="0" w:space="0" w:color="auto"/>
        <w:left w:val="none" w:sz="0" w:space="0" w:color="auto"/>
        <w:bottom w:val="none" w:sz="0" w:space="0" w:color="auto"/>
        <w:right w:val="none" w:sz="0" w:space="0" w:color="auto"/>
      </w:divBdr>
    </w:div>
    <w:div w:id="206449615">
      <w:bodyDiv w:val="1"/>
      <w:marLeft w:val="0"/>
      <w:marRight w:val="0"/>
      <w:marTop w:val="0"/>
      <w:marBottom w:val="0"/>
      <w:divBdr>
        <w:top w:val="none" w:sz="0" w:space="0" w:color="auto"/>
        <w:left w:val="none" w:sz="0" w:space="0" w:color="auto"/>
        <w:bottom w:val="none" w:sz="0" w:space="0" w:color="auto"/>
        <w:right w:val="none" w:sz="0" w:space="0" w:color="auto"/>
      </w:divBdr>
      <w:divsChild>
        <w:div w:id="1601715605">
          <w:marLeft w:val="0"/>
          <w:marRight w:val="0"/>
          <w:marTop w:val="0"/>
          <w:marBottom w:val="0"/>
          <w:divBdr>
            <w:top w:val="none" w:sz="0" w:space="0" w:color="auto"/>
            <w:left w:val="none" w:sz="0" w:space="0" w:color="auto"/>
            <w:bottom w:val="none" w:sz="0" w:space="0" w:color="auto"/>
            <w:right w:val="none" w:sz="0" w:space="0" w:color="auto"/>
          </w:divBdr>
          <w:divsChild>
            <w:div w:id="1658991987">
              <w:marLeft w:val="0"/>
              <w:marRight w:val="0"/>
              <w:marTop w:val="0"/>
              <w:marBottom w:val="0"/>
              <w:divBdr>
                <w:top w:val="none" w:sz="0" w:space="0" w:color="auto"/>
                <w:left w:val="none" w:sz="0" w:space="0" w:color="auto"/>
                <w:bottom w:val="none" w:sz="0" w:space="0" w:color="auto"/>
                <w:right w:val="none" w:sz="0" w:space="0" w:color="auto"/>
              </w:divBdr>
              <w:divsChild>
                <w:div w:id="1293173003">
                  <w:marLeft w:val="0"/>
                  <w:marRight w:val="0"/>
                  <w:marTop w:val="0"/>
                  <w:marBottom w:val="0"/>
                  <w:divBdr>
                    <w:top w:val="none" w:sz="0" w:space="0" w:color="auto"/>
                    <w:left w:val="none" w:sz="0" w:space="0" w:color="auto"/>
                    <w:bottom w:val="none" w:sz="0" w:space="0" w:color="auto"/>
                    <w:right w:val="none" w:sz="0" w:space="0" w:color="auto"/>
                  </w:divBdr>
                  <w:divsChild>
                    <w:div w:id="770710642">
                      <w:marLeft w:val="0"/>
                      <w:marRight w:val="0"/>
                      <w:marTop w:val="0"/>
                      <w:marBottom w:val="0"/>
                      <w:divBdr>
                        <w:top w:val="none" w:sz="0" w:space="0" w:color="auto"/>
                        <w:left w:val="none" w:sz="0" w:space="0" w:color="auto"/>
                        <w:bottom w:val="none" w:sz="0" w:space="0" w:color="auto"/>
                        <w:right w:val="none" w:sz="0" w:space="0" w:color="auto"/>
                      </w:divBdr>
                      <w:divsChild>
                        <w:div w:id="58671029">
                          <w:marLeft w:val="0"/>
                          <w:marRight w:val="0"/>
                          <w:marTop w:val="0"/>
                          <w:marBottom w:val="0"/>
                          <w:divBdr>
                            <w:top w:val="none" w:sz="0" w:space="0" w:color="auto"/>
                            <w:left w:val="none" w:sz="0" w:space="0" w:color="auto"/>
                            <w:bottom w:val="none" w:sz="0" w:space="0" w:color="auto"/>
                            <w:right w:val="none" w:sz="0" w:space="0" w:color="auto"/>
                          </w:divBdr>
                          <w:divsChild>
                            <w:div w:id="2076967629">
                              <w:marLeft w:val="0"/>
                              <w:marRight w:val="0"/>
                              <w:marTop w:val="0"/>
                              <w:marBottom w:val="0"/>
                              <w:divBdr>
                                <w:top w:val="none" w:sz="0" w:space="0" w:color="auto"/>
                                <w:left w:val="none" w:sz="0" w:space="0" w:color="auto"/>
                                <w:bottom w:val="none" w:sz="0" w:space="0" w:color="auto"/>
                                <w:right w:val="none" w:sz="0" w:space="0" w:color="auto"/>
                              </w:divBdr>
                              <w:divsChild>
                                <w:div w:id="14583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8795">
                          <w:marLeft w:val="0"/>
                          <w:marRight w:val="0"/>
                          <w:marTop w:val="0"/>
                          <w:marBottom w:val="0"/>
                          <w:divBdr>
                            <w:top w:val="none" w:sz="0" w:space="0" w:color="auto"/>
                            <w:left w:val="none" w:sz="0" w:space="0" w:color="auto"/>
                            <w:bottom w:val="none" w:sz="0" w:space="0" w:color="auto"/>
                            <w:right w:val="none" w:sz="0" w:space="0" w:color="auto"/>
                          </w:divBdr>
                          <w:divsChild>
                            <w:div w:id="1305046543">
                              <w:marLeft w:val="0"/>
                              <w:marRight w:val="0"/>
                              <w:marTop w:val="0"/>
                              <w:marBottom w:val="0"/>
                              <w:divBdr>
                                <w:top w:val="none" w:sz="0" w:space="0" w:color="auto"/>
                                <w:left w:val="none" w:sz="0" w:space="0" w:color="auto"/>
                                <w:bottom w:val="none" w:sz="0" w:space="0" w:color="auto"/>
                                <w:right w:val="none" w:sz="0" w:space="0" w:color="auto"/>
                              </w:divBdr>
                              <w:divsChild>
                                <w:div w:id="656345281">
                                  <w:marLeft w:val="0"/>
                                  <w:marRight w:val="0"/>
                                  <w:marTop w:val="0"/>
                                  <w:marBottom w:val="0"/>
                                  <w:divBdr>
                                    <w:top w:val="none" w:sz="0" w:space="0" w:color="auto"/>
                                    <w:left w:val="none" w:sz="0" w:space="0" w:color="auto"/>
                                    <w:bottom w:val="none" w:sz="0" w:space="0" w:color="auto"/>
                                    <w:right w:val="none" w:sz="0" w:space="0" w:color="auto"/>
                                  </w:divBdr>
                                  <w:divsChild>
                                    <w:div w:id="81823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106931">
              <w:marLeft w:val="0"/>
              <w:marRight w:val="0"/>
              <w:marTop w:val="0"/>
              <w:marBottom w:val="0"/>
              <w:divBdr>
                <w:top w:val="none" w:sz="0" w:space="0" w:color="auto"/>
                <w:left w:val="none" w:sz="0" w:space="0" w:color="auto"/>
                <w:bottom w:val="none" w:sz="0" w:space="0" w:color="auto"/>
                <w:right w:val="none" w:sz="0" w:space="0" w:color="auto"/>
              </w:divBdr>
              <w:divsChild>
                <w:div w:id="1656109753">
                  <w:marLeft w:val="0"/>
                  <w:marRight w:val="0"/>
                  <w:marTop w:val="0"/>
                  <w:marBottom w:val="0"/>
                  <w:divBdr>
                    <w:top w:val="none" w:sz="0" w:space="0" w:color="auto"/>
                    <w:left w:val="none" w:sz="0" w:space="0" w:color="auto"/>
                    <w:bottom w:val="none" w:sz="0" w:space="0" w:color="auto"/>
                    <w:right w:val="none" w:sz="0" w:space="0" w:color="auto"/>
                  </w:divBdr>
                  <w:divsChild>
                    <w:div w:id="34355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400431">
      <w:bodyDiv w:val="1"/>
      <w:marLeft w:val="0"/>
      <w:marRight w:val="0"/>
      <w:marTop w:val="0"/>
      <w:marBottom w:val="0"/>
      <w:divBdr>
        <w:top w:val="none" w:sz="0" w:space="0" w:color="auto"/>
        <w:left w:val="none" w:sz="0" w:space="0" w:color="auto"/>
        <w:bottom w:val="none" w:sz="0" w:space="0" w:color="auto"/>
        <w:right w:val="none" w:sz="0" w:space="0" w:color="auto"/>
      </w:divBdr>
    </w:div>
    <w:div w:id="379323471">
      <w:bodyDiv w:val="1"/>
      <w:marLeft w:val="0"/>
      <w:marRight w:val="0"/>
      <w:marTop w:val="0"/>
      <w:marBottom w:val="0"/>
      <w:divBdr>
        <w:top w:val="none" w:sz="0" w:space="0" w:color="auto"/>
        <w:left w:val="none" w:sz="0" w:space="0" w:color="auto"/>
        <w:bottom w:val="none" w:sz="0" w:space="0" w:color="auto"/>
        <w:right w:val="none" w:sz="0" w:space="0" w:color="auto"/>
      </w:divBdr>
      <w:divsChild>
        <w:div w:id="390888708">
          <w:marLeft w:val="0"/>
          <w:marRight w:val="0"/>
          <w:marTop w:val="0"/>
          <w:marBottom w:val="0"/>
          <w:divBdr>
            <w:top w:val="none" w:sz="0" w:space="0" w:color="auto"/>
            <w:left w:val="none" w:sz="0" w:space="0" w:color="auto"/>
            <w:bottom w:val="none" w:sz="0" w:space="0" w:color="auto"/>
            <w:right w:val="none" w:sz="0" w:space="0" w:color="auto"/>
          </w:divBdr>
          <w:divsChild>
            <w:div w:id="2054646545">
              <w:marLeft w:val="0"/>
              <w:marRight w:val="0"/>
              <w:marTop w:val="0"/>
              <w:marBottom w:val="0"/>
              <w:divBdr>
                <w:top w:val="none" w:sz="0" w:space="0" w:color="auto"/>
                <w:left w:val="none" w:sz="0" w:space="0" w:color="auto"/>
                <w:bottom w:val="none" w:sz="0" w:space="0" w:color="auto"/>
                <w:right w:val="none" w:sz="0" w:space="0" w:color="auto"/>
              </w:divBdr>
              <w:divsChild>
                <w:div w:id="1739859964">
                  <w:marLeft w:val="0"/>
                  <w:marRight w:val="0"/>
                  <w:marTop w:val="0"/>
                  <w:marBottom w:val="0"/>
                  <w:divBdr>
                    <w:top w:val="none" w:sz="0" w:space="0" w:color="auto"/>
                    <w:left w:val="none" w:sz="0" w:space="0" w:color="auto"/>
                    <w:bottom w:val="none" w:sz="0" w:space="0" w:color="auto"/>
                    <w:right w:val="none" w:sz="0" w:space="0" w:color="auto"/>
                  </w:divBdr>
                  <w:divsChild>
                    <w:div w:id="1225067076">
                      <w:marLeft w:val="0"/>
                      <w:marRight w:val="0"/>
                      <w:marTop w:val="0"/>
                      <w:marBottom w:val="0"/>
                      <w:divBdr>
                        <w:top w:val="none" w:sz="0" w:space="0" w:color="auto"/>
                        <w:left w:val="none" w:sz="0" w:space="0" w:color="auto"/>
                        <w:bottom w:val="none" w:sz="0" w:space="0" w:color="auto"/>
                        <w:right w:val="none" w:sz="0" w:space="0" w:color="auto"/>
                      </w:divBdr>
                      <w:divsChild>
                        <w:div w:id="29502727">
                          <w:marLeft w:val="0"/>
                          <w:marRight w:val="0"/>
                          <w:marTop w:val="0"/>
                          <w:marBottom w:val="0"/>
                          <w:divBdr>
                            <w:top w:val="none" w:sz="0" w:space="0" w:color="auto"/>
                            <w:left w:val="none" w:sz="0" w:space="0" w:color="auto"/>
                            <w:bottom w:val="none" w:sz="0" w:space="0" w:color="auto"/>
                            <w:right w:val="none" w:sz="0" w:space="0" w:color="auto"/>
                          </w:divBdr>
                          <w:divsChild>
                            <w:div w:id="1596672158">
                              <w:marLeft w:val="0"/>
                              <w:marRight w:val="0"/>
                              <w:marTop w:val="0"/>
                              <w:marBottom w:val="0"/>
                              <w:divBdr>
                                <w:top w:val="none" w:sz="0" w:space="0" w:color="auto"/>
                                <w:left w:val="none" w:sz="0" w:space="0" w:color="auto"/>
                                <w:bottom w:val="none" w:sz="0" w:space="0" w:color="auto"/>
                                <w:right w:val="none" w:sz="0" w:space="0" w:color="auto"/>
                              </w:divBdr>
                              <w:divsChild>
                                <w:div w:id="26666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89261">
                          <w:marLeft w:val="0"/>
                          <w:marRight w:val="0"/>
                          <w:marTop w:val="0"/>
                          <w:marBottom w:val="0"/>
                          <w:divBdr>
                            <w:top w:val="none" w:sz="0" w:space="0" w:color="auto"/>
                            <w:left w:val="none" w:sz="0" w:space="0" w:color="auto"/>
                            <w:bottom w:val="none" w:sz="0" w:space="0" w:color="auto"/>
                            <w:right w:val="none" w:sz="0" w:space="0" w:color="auto"/>
                          </w:divBdr>
                          <w:divsChild>
                            <w:div w:id="988098665">
                              <w:marLeft w:val="0"/>
                              <w:marRight w:val="0"/>
                              <w:marTop w:val="0"/>
                              <w:marBottom w:val="0"/>
                              <w:divBdr>
                                <w:top w:val="none" w:sz="0" w:space="0" w:color="auto"/>
                                <w:left w:val="none" w:sz="0" w:space="0" w:color="auto"/>
                                <w:bottom w:val="none" w:sz="0" w:space="0" w:color="auto"/>
                                <w:right w:val="none" w:sz="0" w:space="0" w:color="auto"/>
                              </w:divBdr>
                              <w:divsChild>
                                <w:div w:id="709309292">
                                  <w:marLeft w:val="0"/>
                                  <w:marRight w:val="0"/>
                                  <w:marTop w:val="0"/>
                                  <w:marBottom w:val="0"/>
                                  <w:divBdr>
                                    <w:top w:val="none" w:sz="0" w:space="0" w:color="auto"/>
                                    <w:left w:val="none" w:sz="0" w:space="0" w:color="auto"/>
                                    <w:bottom w:val="none" w:sz="0" w:space="0" w:color="auto"/>
                                    <w:right w:val="none" w:sz="0" w:space="0" w:color="auto"/>
                                  </w:divBdr>
                                  <w:divsChild>
                                    <w:div w:id="210942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295658">
              <w:marLeft w:val="0"/>
              <w:marRight w:val="0"/>
              <w:marTop w:val="0"/>
              <w:marBottom w:val="0"/>
              <w:divBdr>
                <w:top w:val="none" w:sz="0" w:space="0" w:color="auto"/>
                <w:left w:val="none" w:sz="0" w:space="0" w:color="auto"/>
                <w:bottom w:val="none" w:sz="0" w:space="0" w:color="auto"/>
                <w:right w:val="none" w:sz="0" w:space="0" w:color="auto"/>
              </w:divBdr>
              <w:divsChild>
                <w:div w:id="378091219">
                  <w:marLeft w:val="0"/>
                  <w:marRight w:val="0"/>
                  <w:marTop w:val="0"/>
                  <w:marBottom w:val="0"/>
                  <w:divBdr>
                    <w:top w:val="none" w:sz="0" w:space="0" w:color="auto"/>
                    <w:left w:val="none" w:sz="0" w:space="0" w:color="auto"/>
                    <w:bottom w:val="none" w:sz="0" w:space="0" w:color="auto"/>
                    <w:right w:val="none" w:sz="0" w:space="0" w:color="auto"/>
                  </w:divBdr>
                  <w:divsChild>
                    <w:div w:id="28705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418824">
          <w:marLeft w:val="0"/>
          <w:marRight w:val="0"/>
          <w:marTop w:val="0"/>
          <w:marBottom w:val="0"/>
          <w:divBdr>
            <w:top w:val="none" w:sz="0" w:space="0" w:color="auto"/>
            <w:left w:val="none" w:sz="0" w:space="0" w:color="auto"/>
            <w:bottom w:val="none" w:sz="0" w:space="0" w:color="auto"/>
            <w:right w:val="none" w:sz="0" w:space="0" w:color="auto"/>
          </w:divBdr>
          <w:divsChild>
            <w:div w:id="54160276">
              <w:marLeft w:val="0"/>
              <w:marRight w:val="0"/>
              <w:marTop w:val="0"/>
              <w:marBottom w:val="0"/>
              <w:divBdr>
                <w:top w:val="none" w:sz="0" w:space="0" w:color="auto"/>
                <w:left w:val="none" w:sz="0" w:space="0" w:color="auto"/>
                <w:bottom w:val="none" w:sz="0" w:space="0" w:color="auto"/>
                <w:right w:val="none" w:sz="0" w:space="0" w:color="auto"/>
              </w:divBdr>
              <w:divsChild>
                <w:div w:id="320356116">
                  <w:marLeft w:val="0"/>
                  <w:marRight w:val="0"/>
                  <w:marTop w:val="0"/>
                  <w:marBottom w:val="0"/>
                  <w:divBdr>
                    <w:top w:val="none" w:sz="0" w:space="0" w:color="auto"/>
                    <w:left w:val="none" w:sz="0" w:space="0" w:color="auto"/>
                    <w:bottom w:val="none" w:sz="0" w:space="0" w:color="auto"/>
                    <w:right w:val="none" w:sz="0" w:space="0" w:color="auto"/>
                  </w:divBdr>
                  <w:divsChild>
                    <w:div w:id="846215507">
                      <w:marLeft w:val="0"/>
                      <w:marRight w:val="0"/>
                      <w:marTop w:val="0"/>
                      <w:marBottom w:val="0"/>
                      <w:divBdr>
                        <w:top w:val="none" w:sz="0" w:space="0" w:color="auto"/>
                        <w:left w:val="none" w:sz="0" w:space="0" w:color="auto"/>
                        <w:bottom w:val="none" w:sz="0" w:space="0" w:color="auto"/>
                        <w:right w:val="none" w:sz="0" w:space="0" w:color="auto"/>
                      </w:divBdr>
                      <w:divsChild>
                        <w:div w:id="2021226983">
                          <w:marLeft w:val="0"/>
                          <w:marRight w:val="0"/>
                          <w:marTop w:val="0"/>
                          <w:marBottom w:val="0"/>
                          <w:divBdr>
                            <w:top w:val="none" w:sz="0" w:space="0" w:color="auto"/>
                            <w:left w:val="none" w:sz="0" w:space="0" w:color="auto"/>
                            <w:bottom w:val="none" w:sz="0" w:space="0" w:color="auto"/>
                            <w:right w:val="none" w:sz="0" w:space="0" w:color="auto"/>
                          </w:divBdr>
                          <w:divsChild>
                            <w:div w:id="48420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97421">
                      <w:marLeft w:val="0"/>
                      <w:marRight w:val="0"/>
                      <w:marTop w:val="0"/>
                      <w:marBottom w:val="0"/>
                      <w:divBdr>
                        <w:top w:val="none" w:sz="0" w:space="0" w:color="auto"/>
                        <w:left w:val="none" w:sz="0" w:space="0" w:color="auto"/>
                        <w:bottom w:val="none" w:sz="0" w:space="0" w:color="auto"/>
                        <w:right w:val="none" w:sz="0" w:space="0" w:color="auto"/>
                      </w:divBdr>
                      <w:divsChild>
                        <w:div w:id="1124932312">
                          <w:marLeft w:val="0"/>
                          <w:marRight w:val="0"/>
                          <w:marTop w:val="0"/>
                          <w:marBottom w:val="0"/>
                          <w:divBdr>
                            <w:top w:val="none" w:sz="0" w:space="0" w:color="auto"/>
                            <w:left w:val="none" w:sz="0" w:space="0" w:color="auto"/>
                            <w:bottom w:val="none" w:sz="0" w:space="0" w:color="auto"/>
                            <w:right w:val="none" w:sz="0" w:space="0" w:color="auto"/>
                          </w:divBdr>
                          <w:divsChild>
                            <w:div w:id="1541362725">
                              <w:marLeft w:val="0"/>
                              <w:marRight w:val="0"/>
                              <w:marTop w:val="0"/>
                              <w:marBottom w:val="0"/>
                              <w:divBdr>
                                <w:top w:val="none" w:sz="0" w:space="0" w:color="auto"/>
                                <w:left w:val="none" w:sz="0" w:space="0" w:color="auto"/>
                                <w:bottom w:val="none" w:sz="0" w:space="0" w:color="auto"/>
                                <w:right w:val="none" w:sz="0" w:space="0" w:color="auto"/>
                              </w:divBdr>
                              <w:divsChild>
                                <w:div w:id="517738272">
                                  <w:marLeft w:val="0"/>
                                  <w:marRight w:val="0"/>
                                  <w:marTop w:val="0"/>
                                  <w:marBottom w:val="0"/>
                                  <w:divBdr>
                                    <w:top w:val="none" w:sz="0" w:space="0" w:color="auto"/>
                                    <w:left w:val="none" w:sz="0" w:space="0" w:color="auto"/>
                                    <w:bottom w:val="none" w:sz="0" w:space="0" w:color="auto"/>
                                    <w:right w:val="none" w:sz="0" w:space="0" w:color="auto"/>
                                  </w:divBdr>
                                  <w:divsChild>
                                    <w:div w:id="131105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2818766">
      <w:bodyDiv w:val="1"/>
      <w:marLeft w:val="0"/>
      <w:marRight w:val="0"/>
      <w:marTop w:val="0"/>
      <w:marBottom w:val="0"/>
      <w:divBdr>
        <w:top w:val="none" w:sz="0" w:space="0" w:color="auto"/>
        <w:left w:val="none" w:sz="0" w:space="0" w:color="auto"/>
        <w:bottom w:val="none" w:sz="0" w:space="0" w:color="auto"/>
        <w:right w:val="none" w:sz="0" w:space="0" w:color="auto"/>
      </w:divBdr>
    </w:div>
    <w:div w:id="524708849">
      <w:bodyDiv w:val="1"/>
      <w:marLeft w:val="0"/>
      <w:marRight w:val="0"/>
      <w:marTop w:val="0"/>
      <w:marBottom w:val="0"/>
      <w:divBdr>
        <w:top w:val="none" w:sz="0" w:space="0" w:color="auto"/>
        <w:left w:val="none" w:sz="0" w:space="0" w:color="auto"/>
        <w:bottom w:val="none" w:sz="0" w:space="0" w:color="auto"/>
        <w:right w:val="none" w:sz="0" w:space="0" w:color="auto"/>
      </w:divBdr>
      <w:divsChild>
        <w:div w:id="2083335457">
          <w:marLeft w:val="0"/>
          <w:marRight w:val="0"/>
          <w:marTop w:val="0"/>
          <w:marBottom w:val="0"/>
          <w:divBdr>
            <w:top w:val="none" w:sz="0" w:space="0" w:color="auto"/>
            <w:left w:val="none" w:sz="0" w:space="0" w:color="auto"/>
            <w:bottom w:val="none" w:sz="0" w:space="0" w:color="auto"/>
            <w:right w:val="none" w:sz="0" w:space="0" w:color="auto"/>
          </w:divBdr>
          <w:divsChild>
            <w:div w:id="2107268950">
              <w:marLeft w:val="0"/>
              <w:marRight w:val="0"/>
              <w:marTop w:val="0"/>
              <w:marBottom w:val="0"/>
              <w:divBdr>
                <w:top w:val="none" w:sz="0" w:space="0" w:color="auto"/>
                <w:left w:val="none" w:sz="0" w:space="0" w:color="auto"/>
                <w:bottom w:val="none" w:sz="0" w:space="0" w:color="auto"/>
                <w:right w:val="none" w:sz="0" w:space="0" w:color="auto"/>
              </w:divBdr>
              <w:divsChild>
                <w:div w:id="1246455728">
                  <w:marLeft w:val="0"/>
                  <w:marRight w:val="0"/>
                  <w:marTop w:val="0"/>
                  <w:marBottom w:val="0"/>
                  <w:divBdr>
                    <w:top w:val="none" w:sz="0" w:space="0" w:color="auto"/>
                    <w:left w:val="none" w:sz="0" w:space="0" w:color="auto"/>
                    <w:bottom w:val="none" w:sz="0" w:space="0" w:color="auto"/>
                    <w:right w:val="none" w:sz="0" w:space="0" w:color="auto"/>
                  </w:divBdr>
                  <w:divsChild>
                    <w:div w:id="1014915985">
                      <w:marLeft w:val="0"/>
                      <w:marRight w:val="0"/>
                      <w:marTop w:val="0"/>
                      <w:marBottom w:val="0"/>
                      <w:divBdr>
                        <w:top w:val="none" w:sz="0" w:space="0" w:color="auto"/>
                        <w:left w:val="none" w:sz="0" w:space="0" w:color="auto"/>
                        <w:bottom w:val="none" w:sz="0" w:space="0" w:color="auto"/>
                        <w:right w:val="none" w:sz="0" w:space="0" w:color="auto"/>
                      </w:divBdr>
                      <w:divsChild>
                        <w:div w:id="1741252374">
                          <w:marLeft w:val="0"/>
                          <w:marRight w:val="0"/>
                          <w:marTop w:val="0"/>
                          <w:marBottom w:val="0"/>
                          <w:divBdr>
                            <w:top w:val="none" w:sz="0" w:space="0" w:color="auto"/>
                            <w:left w:val="none" w:sz="0" w:space="0" w:color="auto"/>
                            <w:bottom w:val="none" w:sz="0" w:space="0" w:color="auto"/>
                            <w:right w:val="none" w:sz="0" w:space="0" w:color="auto"/>
                          </w:divBdr>
                          <w:divsChild>
                            <w:div w:id="387535847">
                              <w:marLeft w:val="0"/>
                              <w:marRight w:val="0"/>
                              <w:marTop w:val="0"/>
                              <w:marBottom w:val="0"/>
                              <w:divBdr>
                                <w:top w:val="none" w:sz="0" w:space="0" w:color="auto"/>
                                <w:left w:val="none" w:sz="0" w:space="0" w:color="auto"/>
                                <w:bottom w:val="none" w:sz="0" w:space="0" w:color="auto"/>
                                <w:right w:val="none" w:sz="0" w:space="0" w:color="auto"/>
                              </w:divBdr>
                              <w:divsChild>
                                <w:div w:id="150478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331971">
                          <w:marLeft w:val="0"/>
                          <w:marRight w:val="0"/>
                          <w:marTop w:val="0"/>
                          <w:marBottom w:val="0"/>
                          <w:divBdr>
                            <w:top w:val="none" w:sz="0" w:space="0" w:color="auto"/>
                            <w:left w:val="none" w:sz="0" w:space="0" w:color="auto"/>
                            <w:bottom w:val="none" w:sz="0" w:space="0" w:color="auto"/>
                            <w:right w:val="none" w:sz="0" w:space="0" w:color="auto"/>
                          </w:divBdr>
                          <w:divsChild>
                            <w:div w:id="680476496">
                              <w:marLeft w:val="0"/>
                              <w:marRight w:val="0"/>
                              <w:marTop w:val="0"/>
                              <w:marBottom w:val="0"/>
                              <w:divBdr>
                                <w:top w:val="none" w:sz="0" w:space="0" w:color="auto"/>
                                <w:left w:val="none" w:sz="0" w:space="0" w:color="auto"/>
                                <w:bottom w:val="none" w:sz="0" w:space="0" w:color="auto"/>
                                <w:right w:val="none" w:sz="0" w:space="0" w:color="auto"/>
                              </w:divBdr>
                              <w:divsChild>
                                <w:div w:id="1533610299">
                                  <w:marLeft w:val="0"/>
                                  <w:marRight w:val="0"/>
                                  <w:marTop w:val="0"/>
                                  <w:marBottom w:val="0"/>
                                  <w:divBdr>
                                    <w:top w:val="none" w:sz="0" w:space="0" w:color="auto"/>
                                    <w:left w:val="none" w:sz="0" w:space="0" w:color="auto"/>
                                    <w:bottom w:val="none" w:sz="0" w:space="0" w:color="auto"/>
                                    <w:right w:val="none" w:sz="0" w:space="0" w:color="auto"/>
                                  </w:divBdr>
                                  <w:divsChild>
                                    <w:div w:id="148978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477370">
              <w:marLeft w:val="0"/>
              <w:marRight w:val="0"/>
              <w:marTop w:val="0"/>
              <w:marBottom w:val="0"/>
              <w:divBdr>
                <w:top w:val="none" w:sz="0" w:space="0" w:color="auto"/>
                <w:left w:val="none" w:sz="0" w:space="0" w:color="auto"/>
                <w:bottom w:val="none" w:sz="0" w:space="0" w:color="auto"/>
                <w:right w:val="none" w:sz="0" w:space="0" w:color="auto"/>
              </w:divBdr>
              <w:divsChild>
                <w:div w:id="836576669">
                  <w:marLeft w:val="0"/>
                  <w:marRight w:val="0"/>
                  <w:marTop w:val="0"/>
                  <w:marBottom w:val="0"/>
                  <w:divBdr>
                    <w:top w:val="none" w:sz="0" w:space="0" w:color="auto"/>
                    <w:left w:val="none" w:sz="0" w:space="0" w:color="auto"/>
                    <w:bottom w:val="none" w:sz="0" w:space="0" w:color="auto"/>
                    <w:right w:val="none" w:sz="0" w:space="0" w:color="auto"/>
                  </w:divBdr>
                  <w:divsChild>
                    <w:div w:id="18999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265094">
          <w:marLeft w:val="0"/>
          <w:marRight w:val="0"/>
          <w:marTop w:val="0"/>
          <w:marBottom w:val="0"/>
          <w:divBdr>
            <w:top w:val="none" w:sz="0" w:space="0" w:color="auto"/>
            <w:left w:val="none" w:sz="0" w:space="0" w:color="auto"/>
            <w:bottom w:val="none" w:sz="0" w:space="0" w:color="auto"/>
            <w:right w:val="none" w:sz="0" w:space="0" w:color="auto"/>
          </w:divBdr>
          <w:divsChild>
            <w:div w:id="1941373912">
              <w:marLeft w:val="0"/>
              <w:marRight w:val="0"/>
              <w:marTop w:val="0"/>
              <w:marBottom w:val="0"/>
              <w:divBdr>
                <w:top w:val="none" w:sz="0" w:space="0" w:color="auto"/>
                <w:left w:val="none" w:sz="0" w:space="0" w:color="auto"/>
                <w:bottom w:val="none" w:sz="0" w:space="0" w:color="auto"/>
                <w:right w:val="none" w:sz="0" w:space="0" w:color="auto"/>
              </w:divBdr>
              <w:divsChild>
                <w:div w:id="2088529767">
                  <w:marLeft w:val="0"/>
                  <w:marRight w:val="0"/>
                  <w:marTop w:val="0"/>
                  <w:marBottom w:val="0"/>
                  <w:divBdr>
                    <w:top w:val="none" w:sz="0" w:space="0" w:color="auto"/>
                    <w:left w:val="none" w:sz="0" w:space="0" w:color="auto"/>
                    <w:bottom w:val="none" w:sz="0" w:space="0" w:color="auto"/>
                    <w:right w:val="none" w:sz="0" w:space="0" w:color="auto"/>
                  </w:divBdr>
                  <w:divsChild>
                    <w:div w:id="689768149">
                      <w:marLeft w:val="0"/>
                      <w:marRight w:val="0"/>
                      <w:marTop w:val="0"/>
                      <w:marBottom w:val="0"/>
                      <w:divBdr>
                        <w:top w:val="none" w:sz="0" w:space="0" w:color="auto"/>
                        <w:left w:val="none" w:sz="0" w:space="0" w:color="auto"/>
                        <w:bottom w:val="none" w:sz="0" w:space="0" w:color="auto"/>
                        <w:right w:val="none" w:sz="0" w:space="0" w:color="auto"/>
                      </w:divBdr>
                      <w:divsChild>
                        <w:div w:id="921718851">
                          <w:marLeft w:val="0"/>
                          <w:marRight w:val="0"/>
                          <w:marTop w:val="0"/>
                          <w:marBottom w:val="0"/>
                          <w:divBdr>
                            <w:top w:val="none" w:sz="0" w:space="0" w:color="auto"/>
                            <w:left w:val="none" w:sz="0" w:space="0" w:color="auto"/>
                            <w:bottom w:val="none" w:sz="0" w:space="0" w:color="auto"/>
                            <w:right w:val="none" w:sz="0" w:space="0" w:color="auto"/>
                          </w:divBdr>
                          <w:divsChild>
                            <w:div w:id="132261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07497">
                      <w:marLeft w:val="0"/>
                      <w:marRight w:val="0"/>
                      <w:marTop w:val="0"/>
                      <w:marBottom w:val="0"/>
                      <w:divBdr>
                        <w:top w:val="none" w:sz="0" w:space="0" w:color="auto"/>
                        <w:left w:val="none" w:sz="0" w:space="0" w:color="auto"/>
                        <w:bottom w:val="none" w:sz="0" w:space="0" w:color="auto"/>
                        <w:right w:val="none" w:sz="0" w:space="0" w:color="auto"/>
                      </w:divBdr>
                      <w:divsChild>
                        <w:div w:id="416950728">
                          <w:marLeft w:val="0"/>
                          <w:marRight w:val="0"/>
                          <w:marTop w:val="0"/>
                          <w:marBottom w:val="0"/>
                          <w:divBdr>
                            <w:top w:val="none" w:sz="0" w:space="0" w:color="auto"/>
                            <w:left w:val="none" w:sz="0" w:space="0" w:color="auto"/>
                            <w:bottom w:val="none" w:sz="0" w:space="0" w:color="auto"/>
                            <w:right w:val="none" w:sz="0" w:space="0" w:color="auto"/>
                          </w:divBdr>
                          <w:divsChild>
                            <w:div w:id="1702170709">
                              <w:marLeft w:val="0"/>
                              <w:marRight w:val="0"/>
                              <w:marTop w:val="0"/>
                              <w:marBottom w:val="0"/>
                              <w:divBdr>
                                <w:top w:val="none" w:sz="0" w:space="0" w:color="auto"/>
                                <w:left w:val="none" w:sz="0" w:space="0" w:color="auto"/>
                                <w:bottom w:val="none" w:sz="0" w:space="0" w:color="auto"/>
                                <w:right w:val="none" w:sz="0" w:space="0" w:color="auto"/>
                              </w:divBdr>
                              <w:divsChild>
                                <w:div w:id="1174415459">
                                  <w:marLeft w:val="0"/>
                                  <w:marRight w:val="0"/>
                                  <w:marTop w:val="0"/>
                                  <w:marBottom w:val="0"/>
                                  <w:divBdr>
                                    <w:top w:val="none" w:sz="0" w:space="0" w:color="auto"/>
                                    <w:left w:val="none" w:sz="0" w:space="0" w:color="auto"/>
                                    <w:bottom w:val="none" w:sz="0" w:space="0" w:color="auto"/>
                                    <w:right w:val="none" w:sz="0" w:space="0" w:color="auto"/>
                                  </w:divBdr>
                                  <w:divsChild>
                                    <w:div w:id="6933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707671">
      <w:bodyDiv w:val="1"/>
      <w:marLeft w:val="0"/>
      <w:marRight w:val="0"/>
      <w:marTop w:val="0"/>
      <w:marBottom w:val="0"/>
      <w:divBdr>
        <w:top w:val="none" w:sz="0" w:space="0" w:color="auto"/>
        <w:left w:val="none" w:sz="0" w:space="0" w:color="auto"/>
        <w:bottom w:val="none" w:sz="0" w:space="0" w:color="auto"/>
        <w:right w:val="none" w:sz="0" w:space="0" w:color="auto"/>
      </w:divBdr>
      <w:divsChild>
        <w:div w:id="1494877095">
          <w:marLeft w:val="0"/>
          <w:marRight w:val="0"/>
          <w:marTop w:val="240"/>
          <w:marBottom w:val="240"/>
          <w:divBdr>
            <w:top w:val="none" w:sz="0" w:space="0" w:color="auto"/>
            <w:left w:val="none" w:sz="0" w:space="0" w:color="auto"/>
            <w:bottom w:val="none" w:sz="0" w:space="0" w:color="auto"/>
            <w:right w:val="none" w:sz="0" w:space="0" w:color="auto"/>
          </w:divBdr>
        </w:div>
      </w:divsChild>
    </w:div>
    <w:div w:id="704407560">
      <w:bodyDiv w:val="1"/>
      <w:marLeft w:val="0"/>
      <w:marRight w:val="0"/>
      <w:marTop w:val="0"/>
      <w:marBottom w:val="0"/>
      <w:divBdr>
        <w:top w:val="none" w:sz="0" w:space="0" w:color="auto"/>
        <w:left w:val="none" w:sz="0" w:space="0" w:color="auto"/>
        <w:bottom w:val="none" w:sz="0" w:space="0" w:color="auto"/>
        <w:right w:val="none" w:sz="0" w:space="0" w:color="auto"/>
      </w:divBdr>
    </w:div>
    <w:div w:id="1127628993">
      <w:bodyDiv w:val="1"/>
      <w:marLeft w:val="0"/>
      <w:marRight w:val="0"/>
      <w:marTop w:val="0"/>
      <w:marBottom w:val="0"/>
      <w:divBdr>
        <w:top w:val="none" w:sz="0" w:space="0" w:color="auto"/>
        <w:left w:val="none" w:sz="0" w:space="0" w:color="auto"/>
        <w:bottom w:val="none" w:sz="0" w:space="0" w:color="auto"/>
        <w:right w:val="none" w:sz="0" w:space="0" w:color="auto"/>
      </w:divBdr>
      <w:divsChild>
        <w:div w:id="1029574642">
          <w:marLeft w:val="0"/>
          <w:marRight w:val="0"/>
          <w:marTop w:val="0"/>
          <w:marBottom w:val="0"/>
          <w:divBdr>
            <w:top w:val="none" w:sz="0" w:space="0" w:color="auto"/>
            <w:left w:val="none" w:sz="0" w:space="0" w:color="auto"/>
            <w:bottom w:val="none" w:sz="0" w:space="0" w:color="auto"/>
            <w:right w:val="none" w:sz="0" w:space="0" w:color="auto"/>
          </w:divBdr>
          <w:divsChild>
            <w:div w:id="370768259">
              <w:marLeft w:val="0"/>
              <w:marRight w:val="0"/>
              <w:marTop w:val="0"/>
              <w:marBottom w:val="0"/>
              <w:divBdr>
                <w:top w:val="none" w:sz="0" w:space="0" w:color="auto"/>
                <w:left w:val="none" w:sz="0" w:space="0" w:color="auto"/>
                <w:bottom w:val="none" w:sz="0" w:space="0" w:color="auto"/>
                <w:right w:val="none" w:sz="0" w:space="0" w:color="auto"/>
              </w:divBdr>
              <w:divsChild>
                <w:div w:id="815026706">
                  <w:marLeft w:val="0"/>
                  <w:marRight w:val="0"/>
                  <w:marTop w:val="0"/>
                  <w:marBottom w:val="0"/>
                  <w:divBdr>
                    <w:top w:val="none" w:sz="0" w:space="0" w:color="auto"/>
                    <w:left w:val="none" w:sz="0" w:space="0" w:color="auto"/>
                    <w:bottom w:val="none" w:sz="0" w:space="0" w:color="auto"/>
                    <w:right w:val="none" w:sz="0" w:space="0" w:color="auto"/>
                  </w:divBdr>
                  <w:divsChild>
                    <w:div w:id="152527637">
                      <w:marLeft w:val="0"/>
                      <w:marRight w:val="0"/>
                      <w:marTop w:val="0"/>
                      <w:marBottom w:val="0"/>
                      <w:divBdr>
                        <w:top w:val="none" w:sz="0" w:space="0" w:color="auto"/>
                        <w:left w:val="none" w:sz="0" w:space="0" w:color="auto"/>
                        <w:bottom w:val="none" w:sz="0" w:space="0" w:color="auto"/>
                        <w:right w:val="none" w:sz="0" w:space="0" w:color="auto"/>
                      </w:divBdr>
                      <w:divsChild>
                        <w:div w:id="326324032">
                          <w:marLeft w:val="0"/>
                          <w:marRight w:val="0"/>
                          <w:marTop w:val="0"/>
                          <w:marBottom w:val="0"/>
                          <w:divBdr>
                            <w:top w:val="none" w:sz="0" w:space="0" w:color="auto"/>
                            <w:left w:val="none" w:sz="0" w:space="0" w:color="auto"/>
                            <w:bottom w:val="none" w:sz="0" w:space="0" w:color="auto"/>
                            <w:right w:val="none" w:sz="0" w:space="0" w:color="auto"/>
                          </w:divBdr>
                          <w:divsChild>
                            <w:div w:id="351763839">
                              <w:marLeft w:val="0"/>
                              <w:marRight w:val="0"/>
                              <w:marTop w:val="0"/>
                              <w:marBottom w:val="0"/>
                              <w:divBdr>
                                <w:top w:val="none" w:sz="0" w:space="0" w:color="auto"/>
                                <w:left w:val="none" w:sz="0" w:space="0" w:color="auto"/>
                                <w:bottom w:val="none" w:sz="0" w:space="0" w:color="auto"/>
                                <w:right w:val="none" w:sz="0" w:space="0" w:color="auto"/>
                              </w:divBdr>
                              <w:divsChild>
                                <w:div w:id="4985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45988">
                          <w:marLeft w:val="0"/>
                          <w:marRight w:val="0"/>
                          <w:marTop w:val="0"/>
                          <w:marBottom w:val="0"/>
                          <w:divBdr>
                            <w:top w:val="none" w:sz="0" w:space="0" w:color="auto"/>
                            <w:left w:val="none" w:sz="0" w:space="0" w:color="auto"/>
                            <w:bottom w:val="none" w:sz="0" w:space="0" w:color="auto"/>
                            <w:right w:val="none" w:sz="0" w:space="0" w:color="auto"/>
                          </w:divBdr>
                          <w:divsChild>
                            <w:div w:id="1053967511">
                              <w:marLeft w:val="0"/>
                              <w:marRight w:val="0"/>
                              <w:marTop w:val="0"/>
                              <w:marBottom w:val="0"/>
                              <w:divBdr>
                                <w:top w:val="none" w:sz="0" w:space="0" w:color="auto"/>
                                <w:left w:val="none" w:sz="0" w:space="0" w:color="auto"/>
                                <w:bottom w:val="none" w:sz="0" w:space="0" w:color="auto"/>
                                <w:right w:val="none" w:sz="0" w:space="0" w:color="auto"/>
                              </w:divBdr>
                              <w:divsChild>
                                <w:div w:id="1584146476">
                                  <w:marLeft w:val="0"/>
                                  <w:marRight w:val="0"/>
                                  <w:marTop w:val="0"/>
                                  <w:marBottom w:val="0"/>
                                  <w:divBdr>
                                    <w:top w:val="none" w:sz="0" w:space="0" w:color="auto"/>
                                    <w:left w:val="none" w:sz="0" w:space="0" w:color="auto"/>
                                    <w:bottom w:val="none" w:sz="0" w:space="0" w:color="auto"/>
                                    <w:right w:val="none" w:sz="0" w:space="0" w:color="auto"/>
                                  </w:divBdr>
                                  <w:divsChild>
                                    <w:div w:id="175015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728168">
              <w:marLeft w:val="0"/>
              <w:marRight w:val="0"/>
              <w:marTop w:val="0"/>
              <w:marBottom w:val="0"/>
              <w:divBdr>
                <w:top w:val="none" w:sz="0" w:space="0" w:color="auto"/>
                <w:left w:val="none" w:sz="0" w:space="0" w:color="auto"/>
                <w:bottom w:val="none" w:sz="0" w:space="0" w:color="auto"/>
                <w:right w:val="none" w:sz="0" w:space="0" w:color="auto"/>
              </w:divBdr>
              <w:divsChild>
                <w:div w:id="705450249">
                  <w:marLeft w:val="0"/>
                  <w:marRight w:val="0"/>
                  <w:marTop w:val="0"/>
                  <w:marBottom w:val="0"/>
                  <w:divBdr>
                    <w:top w:val="none" w:sz="0" w:space="0" w:color="auto"/>
                    <w:left w:val="none" w:sz="0" w:space="0" w:color="auto"/>
                    <w:bottom w:val="none" w:sz="0" w:space="0" w:color="auto"/>
                    <w:right w:val="none" w:sz="0" w:space="0" w:color="auto"/>
                  </w:divBdr>
                  <w:divsChild>
                    <w:div w:id="135811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030406">
          <w:marLeft w:val="0"/>
          <w:marRight w:val="0"/>
          <w:marTop w:val="0"/>
          <w:marBottom w:val="0"/>
          <w:divBdr>
            <w:top w:val="none" w:sz="0" w:space="0" w:color="auto"/>
            <w:left w:val="none" w:sz="0" w:space="0" w:color="auto"/>
            <w:bottom w:val="none" w:sz="0" w:space="0" w:color="auto"/>
            <w:right w:val="none" w:sz="0" w:space="0" w:color="auto"/>
          </w:divBdr>
          <w:divsChild>
            <w:div w:id="1956207222">
              <w:marLeft w:val="0"/>
              <w:marRight w:val="0"/>
              <w:marTop w:val="0"/>
              <w:marBottom w:val="0"/>
              <w:divBdr>
                <w:top w:val="none" w:sz="0" w:space="0" w:color="auto"/>
                <w:left w:val="none" w:sz="0" w:space="0" w:color="auto"/>
                <w:bottom w:val="none" w:sz="0" w:space="0" w:color="auto"/>
                <w:right w:val="none" w:sz="0" w:space="0" w:color="auto"/>
              </w:divBdr>
              <w:divsChild>
                <w:div w:id="1147866229">
                  <w:marLeft w:val="0"/>
                  <w:marRight w:val="0"/>
                  <w:marTop w:val="0"/>
                  <w:marBottom w:val="0"/>
                  <w:divBdr>
                    <w:top w:val="none" w:sz="0" w:space="0" w:color="auto"/>
                    <w:left w:val="none" w:sz="0" w:space="0" w:color="auto"/>
                    <w:bottom w:val="none" w:sz="0" w:space="0" w:color="auto"/>
                    <w:right w:val="none" w:sz="0" w:space="0" w:color="auto"/>
                  </w:divBdr>
                  <w:divsChild>
                    <w:div w:id="1426539532">
                      <w:marLeft w:val="0"/>
                      <w:marRight w:val="0"/>
                      <w:marTop w:val="0"/>
                      <w:marBottom w:val="0"/>
                      <w:divBdr>
                        <w:top w:val="none" w:sz="0" w:space="0" w:color="auto"/>
                        <w:left w:val="none" w:sz="0" w:space="0" w:color="auto"/>
                        <w:bottom w:val="none" w:sz="0" w:space="0" w:color="auto"/>
                        <w:right w:val="none" w:sz="0" w:space="0" w:color="auto"/>
                      </w:divBdr>
                      <w:divsChild>
                        <w:div w:id="834303653">
                          <w:marLeft w:val="0"/>
                          <w:marRight w:val="0"/>
                          <w:marTop w:val="0"/>
                          <w:marBottom w:val="0"/>
                          <w:divBdr>
                            <w:top w:val="none" w:sz="0" w:space="0" w:color="auto"/>
                            <w:left w:val="none" w:sz="0" w:space="0" w:color="auto"/>
                            <w:bottom w:val="none" w:sz="0" w:space="0" w:color="auto"/>
                            <w:right w:val="none" w:sz="0" w:space="0" w:color="auto"/>
                          </w:divBdr>
                          <w:divsChild>
                            <w:div w:id="133634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04759">
                      <w:marLeft w:val="0"/>
                      <w:marRight w:val="0"/>
                      <w:marTop w:val="0"/>
                      <w:marBottom w:val="0"/>
                      <w:divBdr>
                        <w:top w:val="none" w:sz="0" w:space="0" w:color="auto"/>
                        <w:left w:val="none" w:sz="0" w:space="0" w:color="auto"/>
                        <w:bottom w:val="none" w:sz="0" w:space="0" w:color="auto"/>
                        <w:right w:val="none" w:sz="0" w:space="0" w:color="auto"/>
                      </w:divBdr>
                      <w:divsChild>
                        <w:div w:id="194805531">
                          <w:marLeft w:val="0"/>
                          <w:marRight w:val="0"/>
                          <w:marTop w:val="0"/>
                          <w:marBottom w:val="0"/>
                          <w:divBdr>
                            <w:top w:val="none" w:sz="0" w:space="0" w:color="auto"/>
                            <w:left w:val="none" w:sz="0" w:space="0" w:color="auto"/>
                            <w:bottom w:val="none" w:sz="0" w:space="0" w:color="auto"/>
                            <w:right w:val="none" w:sz="0" w:space="0" w:color="auto"/>
                          </w:divBdr>
                          <w:divsChild>
                            <w:div w:id="2125030380">
                              <w:marLeft w:val="0"/>
                              <w:marRight w:val="0"/>
                              <w:marTop w:val="0"/>
                              <w:marBottom w:val="0"/>
                              <w:divBdr>
                                <w:top w:val="none" w:sz="0" w:space="0" w:color="auto"/>
                                <w:left w:val="none" w:sz="0" w:space="0" w:color="auto"/>
                                <w:bottom w:val="none" w:sz="0" w:space="0" w:color="auto"/>
                                <w:right w:val="none" w:sz="0" w:space="0" w:color="auto"/>
                              </w:divBdr>
                              <w:divsChild>
                                <w:div w:id="580218451">
                                  <w:marLeft w:val="0"/>
                                  <w:marRight w:val="0"/>
                                  <w:marTop w:val="0"/>
                                  <w:marBottom w:val="0"/>
                                  <w:divBdr>
                                    <w:top w:val="none" w:sz="0" w:space="0" w:color="auto"/>
                                    <w:left w:val="none" w:sz="0" w:space="0" w:color="auto"/>
                                    <w:bottom w:val="none" w:sz="0" w:space="0" w:color="auto"/>
                                    <w:right w:val="none" w:sz="0" w:space="0" w:color="auto"/>
                                  </w:divBdr>
                                  <w:divsChild>
                                    <w:div w:id="43825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5255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4.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phys.libretexts.org/Courses/Prince_Georges_Community_College/General_Physics_I%3A_Classical_Mechanics/54%3A_Gravity/54.07%3A_Gausss_Formulation"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www.newworldencyclopedia.org/entry/Apollonius_of_Perg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phys.libretexts.org/Bookshelves/Astronomy__Cosmology/Celestial_Mechanics_(Tatum)/05%3A_Gravitational_Field_and_Potential/5.05%3A_Gauss's_Theorem" TargetMode="Externa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38D3EAC-AD4F-4007-B95D-E4C5083A6B69}">
  <we:reference id="wa104381909" version="3.23.0.0" store="en-US"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EC6A9A-7F77-463B-BD09-FE271C0E2E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AF6DD93-B026-4114-A73B-0AB0D5E165E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DA71878-39AC-C542-9241-788A7B17AC4B}">
  <ds:schemaRefs>
    <ds:schemaRef ds:uri="http://schemas.openxmlformats.org/officeDocument/2006/bibliography"/>
  </ds:schemaRefs>
</ds:datastoreItem>
</file>

<file path=customXml/itemProps4.xml><?xml version="1.0" encoding="utf-8"?>
<ds:datastoreItem xmlns:ds="http://schemas.openxmlformats.org/officeDocument/2006/customXml" ds:itemID="{AC9906A9-01E8-4E7D-A46C-577DE1FF39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5414</Words>
  <Characters>30865</Characters>
  <Application>Microsoft Office Word</Application>
  <DocSecurity>0</DocSecurity>
  <Lines>257</Lines>
  <Paragraphs>72</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Preparation of Papers for AIAA Journals</vt:lpstr>
      <vt:lpstr>Conical Coordinates for Elliptical Orbits</vt:lpstr>
      <vt:lpstr>Two-body orbital motion is analyzed within a three-dimensional conical refe</vt:lpstr>
      <vt:lpstr>Nomenclature</vt:lpstr>
      <vt:lpstr>Introduction</vt:lpstr>
      <vt:lpstr>Three-Dimensional Coordinates</vt:lpstr>
      <vt:lpstr>Geometry of Elliptical Orbits in a Conical Frame</vt:lpstr>
      <vt:lpstr>Gauss’s Law</vt:lpstr>
      <vt:lpstr>Gauss’s Law Application</vt:lpstr>
      <vt:lpstr>Conclusion</vt:lpstr>
      <vt:lpstr>Appendix: Numerical Positioning and R-Frame Interpolation</vt:lpstr>
      <vt:lpstr>    A. Example Trajectory</vt:lpstr>
    </vt:vector>
  </TitlesOfParts>
  <Manager/>
  <Company>AIAA</Company>
  <LinksUpToDate>false</LinksUpToDate>
  <CharactersWithSpaces>36207</CharactersWithSpaces>
  <SharedDoc>false</SharedDoc>
  <HyperlinkBase/>
  <HLinks>
    <vt:vector size="60" baseType="variant">
      <vt:variant>
        <vt:i4>4718671</vt:i4>
      </vt:variant>
      <vt:variant>
        <vt:i4>33</vt:i4>
      </vt:variant>
      <vt:variant>
        <vt:i4>0</vt:i4>
      </vt:variant>
      <vt:variant>
        <vt:i4>5</vt:i4>
      </vt:variant>
      <vt:variant>
        <vt:lpwstr>http://www.geog.le.ac.uk/bgrg/lab.htm</vt:lpwstr>
      </vt:variant>
      <vt:variant>
        <vt:lpwstr/>
      </vt:variant>
      <vt:variant>
        <vt:i4>393284</vt:i4>
      </vt:variant>
      <vt:variant>
        <vt:i4>30</vt:i4>
      </vt:variant>
      <vt:variant>
        <vt:i4>0</vt:i4>
      </vt:variant>
      <vt:variant>
        <vt:i4>5</vt:i4>
      </vt:variant>
      <vt:variant>
        <vt:lpwstr>http://www.cp/umist.ac.uk/JCSE/vol1/vol1.html</vt:lpwstr>
      </vt:variant>
      <vt:variant>
        <vt:lpwstr/>
      </vt:variant>
      <vt:variant>
        <vt:i4>4325453</vt:i4>
      </vt:variant>
      <vt:variant>
        <vt:i4>27</vt:i4>
      </vt:variant>
      <vt:variant>
        <vt:i4>0</vt:i4>
      </vt:variant>
      <vt:variant>
        <vt:i4>5</vt:i4>
      </vt:variant>
      <vt:variant>
        <vt:lpwstr>http://www.crossref.org/</vt:lpwstr>
      </vt:variant>
      <vt:variant>
        <vt:lpwstr/>
      </vt:variant>
      <vt:variant>
        <vt:i4>3014755</vt:i4>
      </vt:variant>
      <vt:variant>
        <vt:i4>24</vt:i4>
      </vt:variant>
      <vt:variant>
        <vt:i4>0</vt:i4>
      </vt:variant>
      <vt:variant>
        <vt:i4>5</vt:i4>
      </vt:variant>
      <vt:variant>
        <vt:lpwstr>http://www.doi.org/</vt:lpwstr>
      </vt:variant>
      <vt:variant>
        <vt:lpwstr/>
      </vt:variant>
      <vt:variant>
        <vt:i4>5767243</vt:i4>
      </vt:variant>
      <vt:variant>
        <vt:i4>18</vt:i4>
      </vt:variant>
      <vt:variant>
        <vt:i4>0</vt:i4>
      </vt:variant>
      <vt:variant>
        <vt:i4>5</vt:i4>
      </vt:variant>
      <vt:variant>
        <vt:lpwstr>http://www.mathtype.com/</vt:lpwstr>
      </vt:variant>
      <vt:variant>
        <vt:lpwstr/>
      </vt:variant>
      <vt:variant>
        <vt:i4>5111819</vt:i4>
      </vt:variant>
      <vt:variant>
        <vt:i4>12</vt:i4>
      </vt:variant>
      <vt:variant>
        <vt:i4>0</vt:i4>
      </vt:variant>
      <vt:variant>
        <vt:i4>5</vt:i4>
      </vt:variant>
      <vt:variant>
        <vt:lpwstr>https://mchelp.manuscriptcentral.com/gethelpnow/</vt:lpwstr>
      </vt:variant>
      <vt:variant>
        <vt:lpwstr/>
      </vt:variant>
      <vt:variant>
        <vt:i4>589896</vt:i4>
      </vt:variant>
      <vt:variant>
        <vt:i4>9</vt:i4>
      </vt:variant>
      <vt:variant>
        <vt:i4>0</vt:i4>
      </vt:variant>
      <vt:variant>
        <vt:i4>5</vt:i4>
      </vt:variant>
      <vt:variant>
        <vt:lpwstr>mailto:ScholarOne</vt:lpwstr>
      </vt:variant>
      <vt:variant>
        <vt:lpwstr/>
      </vt:variant>
      <vt:variant>
        <vt:i4>2424882</vt:i4>
      </vt:variant>
      <vt:variant>
        <vt:i4>6</vt:i4>
      </vt:variant>
      <vt:variant>
        <vt:i4>0</vt:i4>
      </vt:variant>
      <vt:variant>
        <vt:i4>5</vt:i4>
      </vt:variant>
      <vt:variant>
        <vt:lpwstr>http://www.writetrack.net/</vt:lpwstr>
      </vt:variant>
      <vt:variant>
        <vt:lpwstr/>
      </vt:variant>
      <vt:variant>
        <vt:i4>2424882</vt:i4>
      </vt:variant>
      <vt:variant>
        <vt:i4>3</vt:i4>
      </vt:variant>
      <vt:variant>
        <vt:i4>0</vt:i4>
      </vt:variant>
      <vt:variant>
        <vt:i4>5</vt:i4>
      </vt:variant>
      <vt:variant>
        <vt:lpwstr>http://www.writetrack.net/</vt:lpwstr>
      </vt:variant>
      <vt:variant>
        <vt:lpwstr/>
      </vt:variant>
      <vt:variant>
        <vt:i4>3932215</vt:i4>
      </vt:variant>
      <vt:variant>
        <vt:i4>0</vt:i4>
      </vt:variant>
      <vt:variant>
        <vt:i4>0</vt:i4>
      </vt:variant>
      <vt:variant>
        <vt:i4>5</vt:i4>
      </vt:variant>
      <vt:variant>
        <vt:lpwstr>http://www.aiaa.org/content.cfm?pageid=167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for AIAA Journals</dc:title>
  <dc:subject/>
  <dc:creator>Owner</dc:creator>
  <cp:keywords>TP Template 2017</cp:keywords>
  <dc:description/>
  <cp:lastModifiedBy>Doug May</cp:lastModifiedBy>
  <cp:revision>2</cp:revision>
  <cp:lastPrinted>2026-05-01T03:40:00Z</cp:lastPrinted>
  <dcterms:created xsi:type="dcterms:W3CDTF">2026-07-31T20:15:00Z</dcterms:created>
  <dcterms:modified xsi:type="dcterms:W3CDTF">2026-07-31T20:15:00Z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y fmtid="{D5CDD505-2E9C-101B-9397-08002B2CF9AE}" pid="5"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6" name="MTPreferences 1">
    <vt:lpwstr>
Full=10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7"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8"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9" name="MTPreferenceSource">
    <vt:lpwstr>Times+Symbol 10.eqp</vt:lpwstr>
  </property>
</Properties>
</file>