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Minimal Example Document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2025-12-23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is a minimal example document for testing docstyle workflows. It demonstrates the essential elements needed for round-trip editing between Quarto and Microsoft Word.</w:t>
      </w:r>
    </w:p>
    <w:p>
      <w:pPr>
        <w:pStyle w:val="BodyText"/>
      </w:pPr>
      <w:r>
        <w:t xml:space="preserve">The key principle of literate programming is that code and documentation should be woven together</w:t>
      </w:r>
      <w:r>
        <w:t xml:space="preserve"> </w:t>
      </w:r>
      <w:r>
        <w:fldChar w:fldCharType="begin"/>
      </w:r>
      <w:r>
        <w:instrText xml:space="preserve"> ADDIN ZOTERO_ITEM CSL_CITATION {"citationID":"k4y16OXJ","properties":{"formattedCitation":"(Knuth, 1984)","plainCitation":"(Knuth, 1984)","noteIndex":0},"citationItems":[{"id":80420,"uris":["http://zotero.org/groups/6333496/items/9KHPSE8E"],"itemData":{"id":80420,"type":"article-journal","container-title":"The Computer Journal","DOI":"10.1093/comjnl/27.2.97","ISSN":"0010-4620, 1460-2067","issue":"2","journalAbbreviation":"Comput. J.","language":"en","page":"97-111","source":"DOI.org (Crossref)","title":"Literate programming","URL":"https://academic.oup.com/comjnl/article-lookup/doi/10.1093/comjnl/27.2.97","volume":"27","author":[{"family":"Knuth","given":"D. E."}],"accessed":{"date-parts":[["2025",12,4]]},"issued":{"date-parts":[["1984",2,1]]},"citation-key":"[@Knuth_CJ_1984]"}}],"schema":"https://github.com/citation-style-language/schema/raw/master/csl-citation.json"} </w:instrText>
      </w:r>
      <w:r>
        <w:fldChar w:fldCharType="separate"/>
      </w:r>
      <w:r>
        <w:t>(Knuth, 1984)</w:t>
      </w:r>
      <w:r>
        <w:fldChar w:fldCharType="end"/>
      </w:r>
      <w:r>
        <w:t xml:space="preserve">.</w:t>
      </w:r>
    </w:p>
    <w:bookmarkEnd w:id="20"/>
    <w:bookmarkStart w:id="21" w:name="key-features"/>
    <w:p>
      <w:pPr>
        <w:pStyle w:val="Heading2"/>
      </w:pPr>
      <w:r>
        <w:t xml:space="preserve">Key features</w:t>
      </w:r>
    </w:p>
    <w:p>
      <w:pPr>
        <w:pStyle w:val="FirstParagraph"/>
      </w:pPr>
      <w:r>
        <w:t xml:space="preserve">This document includes:</w:t>
      </w:r>
    </w:p>
    <w:p>
      <w:pPr>
        <w:pStyle w:val="Compact"/>
        <w:numPr>
          <w:ilvl w:val="0"/>
          <w:numId w:val="1001"/>
        </w:numPr>
      </w:pPr>
      <w:r>
        <w:t xml:space="preserve">Headings at multiple levels</w:t>
      </w:r>
    </w:p>
    <w:p>
      <w:pPr>
        <w:pStyle w:val="Compact"/>
        <w:numPr>
          <w:ilvl w:val="0"/>
          <w:numId w:val="1001"/>
        </w:numPr>
      </w:pPr>
      <w:r>
        <w:t xml:space="preserve">Body text paragraphs</w:t>
      </w:r>
    </w:p>
    <w:p>
      <w:pPr>
        <w:pStyle w:val="Compact"/>
        <w:numPr>
          <w:ilvl w:val="0"/>
          <w:numId w:val="1001"/>
        </w:numPr>
      </w:pPr>
      <w:r>
        <w:t xml:space="preserve">A bullet list</w:t>
      </w:r>
    </w:p>
    <w:p>
      <w:pPr>
        <w:pStyle w:val="Compact"/>
        <w:numPr>
          <w:ilvl w:val="0"/>
          <w:numId w:val="1001"/>
        </w:numPr>
      </w:pPr>
      <w:r>
        <w:t xml:space="preserve">Citations managed via Zotero</w:t>
      </w:r>
    </w:p>
    <w:bookmarkEnd w:id="21"/>
    <w:bookmarkStart w:id="28" w:name="list-styles-demonstration"/>
    <w:p>
      <w:pPr>
        <w:pStyle w:val="Heading2"/>
      </w:pPr>
      <w:r>
        <w:t xml:space="preserve">List styles demonstration</w:t>
      </w:r>
    </w:p>
    <w:bookmarkStart w:id="22" w:name="simple-bullet-list"/>
    <w:p>
      <w:pPr>
        <w:pStyle w:val="Heading3"/>
      </w:pPr>
      <w:r>
        <w:t xml:space="preserve">Simple bullet list</w:t>
      </w:r>
    </w:p>
    <w:p>
      <w:pPr>
        <w:pStyle w:val="Compact"/>
        <w:numPr>
          <w:ilvl w:val="0"/>
          <w:numId w:val="1002"/>
        </w:numPr>
      </w:pPr>
      <w:r>
        <w:t xml:space="preserve">First item</w:t>
      </w:r>
    </w:p>
    <w:p>
      <w:pPr>
        <w:pStyle w:val="Compact"/>
        <w:numPr>
          <w:ilvl w:val="0"/>
          <w:numId w:val="1002"/>
        </w:numPr>
      </w:pPr>
      <w:r>
        <w:t xml:space="preserve">Second item</w:t>
      </w:r>
    </w:p>
    <w:p>
      <w:pPr>
        <w:pStyle w:val="Compact"/>
        <w:numPr>
          <w:ilvl w:val="0"/>
          <w:numId w:val="1002"/>
        </w:numPr>
      </w:pPr>
      <w:r>
        <w:t xml:space="preserve">Third item</w:t>
      </w:r>
    </w:p>
    <w:bookmarkEnd w:id="22"/>
    <w:bookmarkStart w:id="23" w:name="nested-bullet-list"/>
    <w:p>
      <w:pPr>
        <w:pStyle w:val="Heading3"/>
      </w:pPr>
      <w:r>
        <w:t xml:space="preserve">Nested bullet list</w:t>
      </w:r>
    </w:p>
    <w:p>
      <w:pPr>
        <w:pStyle w:val="Compact"/>
        <w:numPr>
          <w:ilvl w:val="0"/>
          <w:numId w:val="1003"/>
        </w:numPr>
      </w:pPr>
      <w:r>
        <w:t xml:space="preserve">Level 1 item</w:t>
      </w:r>
    </w:p>
    <w:p>
      <w:pPr>
        <w:pStyle w:val="Compact"/>
        <w:numPr>
          <w:ilvl w:val="1"/>
          <w:numId w:val="1004"/>
        </w:numPr>
      </w:pPr>
      <w:r>
        <w:t xml:space="preserve">Level 2 item</w:t>
      </w:r>
    </w:p>
    <w:p>
      <w:pPr>
        <w:pStyle w:val="Compact"/>
        <w:numPr>
          <w:ilvl w:val="2"/>
          <w:numId w:val="1005"/>
        </w:numPr>
      </w:pPr>
      <w:r>
        <w:t xml:space="preserve">Level 3 item</w:t>
      </w:r>
    </w:p>
    <w:p>
      <w:pPr>
        <w:pStyle w:val="Compact"/>
        <w:numPr>
          <w:ilvl w:val="1"/>
          <w:numId w:val="1004"/>
        </w:numPr>
      </w:pPr>
      <w:r>
        <w:t xml:space="preserve">Another level 2</w:t>
      </w:r>
    </w:p>
    <w:p>
      <w:pPr>
        <w:pStyle w:val="Compact"/>
        <w:numPr>
          <w:ilvl w:val="0"/>
          <w:numId w:val="1003"/>
        </w:numPr>
      </w:pPr>
      <w:r>
        <w:t xml:space="preserve">Back to level 1</w:t>
      </w:r>
    </w:p>
    <w:bookmarkEnd w:id="23"/>
    <w:bookmarkStart w:id="24" w:name="simple-numbered-list"/>
    <w:p>
      <w:pPr>
        <w:pStyle w:val="Heading3"/>
      </w:pPr>
      <w:r>
        <w:t xml:space="preserve">Simple numbered list</w:t>
      </w:r>
    </w:p>
    <w:p>
      <w:pPr>
        <w:pStyle w:val="Compact"/>
        <w:numPr>
          <w:ilvl w:val="0"/>
          <w:numId w:val="1006"/>
        </w:numPr>
      </w:pPr>
      <w:r>
        <w:t xml:space="preserve">First step</w:t>
      </w:r>
    </w:p>
    <w:p>
      <w:pPr>
        <w:pStyle w:val="Compact"/>
        <w:numPr>
          <w:ilvl w:val="0"/>
          <w:numId w:val="1006"/>
        </w:numPr>
      </w:pPr>
      <w:r>
        <w:t xml:space="preserve">Second step</w:t>
      </w:r>
    </w:p>
    <w:p>
      <w:pPr>
        <w:pStyle w:val="Compact"/>
        <w:numPr>
          <w:ilvl w:val="0"/>
          <w:numId w:val="1006"/>
        </w:numPr>
      </w:pPr>
      <w:r>
        <w:t xml:space="preserve">Third step</w:t>
      </w:r>
    </w:p>
    <w:bookmarkEnd w:id="24"/>
    <w:bookmarkStart w:id="25" w:name="numbered-list-with-bullet-sub-items"/>
    <w:p>
      <w:pPr>
        <w:pStyle w:val="Heading3"/>
      </w:pPr>
      <w:r>
        <w:t xml:space="preserve">Numbered list with bullet sub-items</w:t>
      </w:r>
    </w:p>
    <w:p>
      <w:pPr>
        <w:pStyle w:val="Compact"/>
        <w:numPr>
          <w:ilvl w:val="0"/>
          <w:numId w:val="1007"/>
        </w:numPr>
      </w:pPr>
      <w:r>
        <w:t xml:space="preserve">Define the scope</w:t>
      </w:r>
    </w:p>
    <w:p>
      <w:pPr>
        <w:pStyle w:val="Compact"/>
        <w:numPr>
          <w:ilvl w:val="1"/>
          <w:numId w:val="1008"/>
        </w:numPr>
      </w:pPr>
      <w:r>
        <w:t xml:space="preserve">Identify stakeholders</w:t>
      </w:r>
    </w:p>
    <w:p>
      <w:pPr>
        <w:pStyle w:val="Compact"/>
        <w:numPr>
          <w:ilvl w:val="1"/>
          <w:numId w:val="1008"/>
        </w:numPr>
      </w:pPr>
      <w:r>
        <w:t xml:space="preserve">Review existing guidelines</w:t>
      </w:r>
    </w:p>
    <w:p>
      <w:pPr>
        <w:pStyle w:val="Compact"/>
        <w:numPr>
          <w:ilvl w:val="1"/>
          <w:numId w:val="1008"/>
        </w:numPr>
      </w:pPr>
      <w:r>
        <w:t xml:space="preserve">Document assumptions</w:t>
      </w:r>
    </w:p>
    <w:p>
      <w:pPr>
        <w:pStyle w:val="Compact"/>
        <w:numPr>
          <w:ilvl w:val="0"/>
          <w:numId w:val="1007"/>
        </w:numPr>
      </w:pPr>
      <w:r>
        <w:t xml:space="preserve">Gather evidence</w:t>
      </w:r>
    </w:p>
    <w:p>
      <w:pPr>
        <w:pStyle w:val="Compact"/>
        <w:numPr>
          <w:ilvl w:val="1"/>
          <w:numId w:val="1009"/>
        </w:numPr>
      </w:pPr>
      <w:r>
        <w:t xml:space="preserve">Conduct literature review</w:t>
      </w:r>
    </w:p>
    <w:p>
      <w:pPr>
        <w:pStyle w:val="Compact"/>
        <w:numPr>
          <w:ilvl w:val="1"/>
          <w:numId w:val="1009"/>
        </w:numPr>
      </w:pPr>
      <w:r>
        <w:t xml:space="preserve">Consult experts</w:t>
      </w:r>
    </w:p>
    <w:p>
      <w:pPr>
        <w:pStyle w:val="Compact"/>
        <w:numPr>
          <w:ilvl w:val="0"/>
          <w:numId w:val="1007"/>
        </w:numPr>
      </w:pPr>
      <w:r>
        <w:t xml:space="preserve">Reach consensus</w:t>
      </w:r>
    </w:p>
    <w:p>
      <w:pPr>
        <w:pStyle w:val="Compact"/>
        <w:numPr>
          <w:ilvl w:val="1"/>
          <w:numId w:val="1010"/>
        </w:numPr>
      </w:pPr>
      <w:r>
        <w:t xml:space="preserve">Run Delphi process</w:t>
      </w:r>
    </w:p>
    <w:p>
      <w:pPr>
        <w:pStyle w:val="Compact"/>
        <w:numPr>
          <w:ilvl w:val="1"/>
          <w:numId w:val="1010"/>
        </w:numPr>
      </w:pPr>
      <w:r>
        <w:t xml:space="preserve">Hold final meeting</w:t>
      </w:r>
    </w:p>
    <w:bookmarkEnd w:id="25"/>
    <w:bookmarkStart w:id="26" w:name="deeply-nested-numbered-with-bullets"/>
    <w:p>
      <w:pPr>
        <w:pStyle w:val="Heading3"/>
      </w:pPr>
      <w:r>
        <w:t xml:space="preserve">Deeply nested numbered with bullets</w:t>
      </w:r>
    </w:p>
    <w:p>
      <w:pPr>
        <w:pStyle w:val="Compact"/>
        <w:numPr>
          <w:ilvl w:val="0"/>
          <w:numId w:val="1011"/>
        </w:numPr>
      </w:pPr>
      <w:r>
        <w:t xml:space="preserve">Phase one</w:t>
      </w:r>
    </w:p>
    <w:p>
      <w:pPr>
        <w:pStyle w:val="Compact"/>
        <w:numPr>
          <w:ilvl w:val="1"/>
          <w:numId w:val="1012"/>
        </w:numPr>
      </w:pPr>
      <w:r>
        <w:t xml:space="preserve">Task A</w:t>
      </w:r>
    </w:p>
    <w:p>
      <w:pPr>
        <w:pStyle w:val="Compact"/>
        <w:numPr>
          <w:ilvl w:val="2"/>
          <w:numId w:val="1013"/>
        </w:numPr>
      </w:pPr>
      <w:r>
        <w:t xml:space="preserve">Sub-task i</w:t>
      </w:r>
    </w:p>
    <w:p>
      <w:pPr>
        <w:pStyle w:val="Compact"/>
        <w:numPr>
          <w:ilvl w:val="2"/>
          <w:numId w:val="1013"/>
        </w:numPr>
      </w:pPr>
      <w:r>
        <w:t xml:space="preserve">Sub-task ii</w:t>
      </w:r>
    </w:p>
    <w:p>
      <w:pPr>
        <w:pStyle w:val="Compact"/>
        <w:numPr>
          <w:ilvl w:val="1"/>
          <w:numId w:val="1012"/>
        </w:numPr>
      </w:pPr>
      <w:r>
        <w:t xml:space="preserve">Task B</w:t>
      </w:r>
    </w:p>
    <w:p>
      <w:pPr>
        <w:pStyle w:val="Compact"/>
        <w:numPr>
          <w:ilvl w:val="0"/>
          <w:numId w:val="1011"/>
        </w:numPr>
      </w:pPr>
      <w:r>
        <w:t xml:space="preserve">Phase two</w:t>
      </w:r>
    </w:p>
    <w:p>
      <w:pPr>
        <w:pStyle w:val="Compact"/>
        <w:numPr>
          <w:ilvl w:val="1"/>
          <w:numId w:val="1014"/>
        </w:numPr>
      </w:pPr>
      <w:r>
        <w:t xml:space="preserve">Task C</w:t>
      </w:r>
    </w:p>
    <w:p>
      <w:pPr>
        <w:pStyle w:val="Compact"/>
        <w:numPr>
          <w:ilvl w:val="1"/>
          <w:numId w:val="1014"/>
        </w:numPr>
      </w:pPr>
      <w:r>
        <w:t xml:space="preserve">Task D</w:t>
      </w:r>
    </w:p>
    <w:p>
      <w:pPr>
        <w:pStyle w:val="Compact"/>
        <w:numPr>
          <w:ilvl w:val="2"/>
          <w:numId w:val="1015"/>
        </w:numPr>
      </w:pPr>
      <w:r>
        <w:t xml:space="preserve">Sub-task iii</w:t>
      </w:r>
    </w:p>
    <w:bookmarkEnd w:id="26"/>
    <w:bookmarkStart w:id="27" w:name="formal-nested-numbered-list-1.a.i."/>
    <w:p>
      <w:pPr>
        <w:pStyle w:val="Heading3"/>
      </w:pPr>
      <w:r>
        <w:t xml:space="preserve">Formal nested numbered list (1./a./i.)</w:t>
      </w:r>
    </w:p>
    <w:p>
      <w:pPr>
        <w:pStyle w:val="FirstParagraph"/>
      </w:pPr>
      <w:r>
        <w:t xml:space="preserve">This requires post-processing with</w:t>
      </w:r>
      <w:r>
        <w:t xml:space="preserve"> </w:t>
      </w:r>
      <w:r>
        <w:rPr>
          <w:rStyle w:val="VerbatimChar"/>
        </w:rPr>
        <w:t xml:space="preserve">apply_list_style(docx_path, style = "formal")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First level item</w:t>
      </w:r>
    </w:p>
    <w:p>
      <w:pPr>
        <w:pStyle w:val="Compact"/>
        <w:numPr>
          <w:ilvl w:val="1"/>
          <w:numId w:val="1017"/>
        </w:numPr>
      </w:pPr>
      <w:r>
        <w:t xml:space="preserve">Second level item</w:t>
      </w:r>
    </w:p>
    <w:p>
      <w:pPr>
        <w:pStyle w:val="Compact"/>
        <w:numPr>
          <w:ilvl w:val="2"/>
          <w:numId w:val="1018"/>
        </w:numPr>
      </w:pPr>
      <w:r>
        <w:t xml:space="preserve">Third level item</w:t>
      </w:r>
    </w:p>
    <w:p>
      <w:pPr>
        <w:pStyle w:val="Compact"/>
        <w:numPr>
          <w:ilvl w:val="2"/>
          <w:numId w:val="1018"/>
        </w:numPr>
      </w:pPr>
      <w:r>
        <w:t xml:space="preserve">Another third level</w:t>
      </w:r>
    </w:p>
    <w:p>
      <w:pPr>
        <w:pStyle w:val="Compact"/>
        <w:numPr>
          <w:ilvl w:val="1"/>
          <w:numId w:val="1017"/>
        </w:numPr>
      </w:pPr>
      <w:r>
        <w:t xml:space="preserve">Another second level</w:t>
      </w:r>
    </w:p>
    <w:p>
      <w:pPr>
        <w:pStyle w:val="Compact"/>
        <w:numPr>
          <w:ilvl w:val="0"/>
          <w:numId w:val="1016"/>
        </w:numPr>
      </w:pPr>
      <w:r>
        <w:t xml:space="preserve">Back to first level</w:t>
      </w:r>
    </w:p>
    <w:p>
      <w:pPr>
        <w:pStyle w:val="Compact"/>
        <w:numPr>
          <w:ilvl w:val="1"/>
          <w:numId w:val="1019"/>
        </w:numPr>
      </w:pPr>
      <w:r>
        <w:t xml:space="preserve">With sub-item</w:t>
      </w:r>
    </w:p>
    <w:bookmarkEnd w:id="27"/>
    <w:bookmarkEnd w:id="28"/>
    <w:bookmarkStart w:id="30" w:name="data-visualisation"/>
    <w:p>
      <w:pPr>
        <w:pStyle w:val="Heading2"/>
      </w:pPr>
      <w:r>
        <w:t xml:space="preserve">Data visualisation</w:t>
      </w:r>
    </w:p>
    <w:p>
      <w:pPr>
        <w:pStyle w:val="FirstParagraph"/>
      </w:pPr>
      <w:r>
        <w:t xml:space="preserve">Effective communication of quantitative information requires careful attention to visual design</w:t>
      </w:r>
      <w:r>
        <w:t xml:space="preserve"> </w:t>
      </w:r>
      <w:r>
        <w:fldChar w:fldCharType="begin"/>
      </w:r>
      <w:r>
        <w:instrText xml:space="preserve"> ADDIN ZOTERO_ITEM CSL_CITATION {"citationID":"rwiwS1DZ","properties":{"formattedCitation":"(Tufte, 2018)","plainCitation":"(Tufte, 2018)","noteIndex":0},"citationItems":[{"id":80421,"uris":["http://zotero.org/groups/6333496/items/PBL8EV7C"],"itemData":{"id":80421,"type":"book","edition":"2 edition, 10 printing, April 2018","event-place":"Cheshire, Conn","ISBN":"978-0-9613921-4-7","language":"en","number-of-pages":"197","publisher":"Graphics Press","publisher-place":"Cheshire, Conn","source":"K10plus ISBN","title":"The visual display of quantitative information","author":[{"family":"Tufte","given":"Edward R."}],"issued":{"date-parts":[["2018"]]},"citation-key":"[@Tufte_VisualDisplayQuantitative_2018]"}}],"schema":"https://github.com/citation-style-language/schema/raw/master/csl-citation.json"} </w:instrText>
      </w:r>
      <w:r>
        <w:fldChar w:fldCharType="separate"/>
      </w:r>
      <w:r>
        <w:t>(Tufte, 2018)</w:t>
      </w:r>
      <w:r>
        <w:fldChar w:fldCharType="end"/>
      </w:r>
      <w:r>
        <w:t xml:space="preserve">. Clear typography and minimal chart-junk improve comprehension.</w:t>
      </w:r>
    </w:p>
    <w:p>
      <w:pPr>
        <w:pStyle w:val="BodyText"/>
      </w:pPr>
      <w:r>
        <w:t xml:space="preserve">The semiotics of graphical representation provide a theoretical foundation for understanding how visual elements convey meaning</w:t>
      </w:r>
      <w:r>
        <w:t xml:space="preserve"> </w:t>
      </w:r>
      <w:r>
        <w:fldChar w:fldCharType="begin"/>
      </w:r>
      <w:r>
        <w:instrText xml:space="preserve"> ADDIN ZOTERO_ITEM CSL_CITATION {"citationID":"DRLAVR8d","properties":{"formattedCitation":"(Bertin, Berg, &amp; Bertin, 2011)","plainCitation":"(Bertin, Berg, &amp; Bertin, 2011)","noteIndex":0},"citationItems":[{"id":80415,"uris":["http://zotero.org/groups/6333496/items/UMIXTUAY"],"itemData":{"id":80415,"type":"book","edition":"1. ed","event-place":"Redlands, Calif","ISBN":"978-1-58948-261-6","language":"eng","number-of-pages":"438","publisher":"ESRI Press","publisher-place":"Redlands, Calif","source":"K10plus ISBN","title":"Semiology of graphics: diagrams, networks, maps","title-short":"Semiology of graphics","author":[{"family":"Bertin","given":"Jacques"},{"family":"Berg","given":"William J."},{"family":"Bertin","given":"Jacques"}],"issued":{"date-parts":[["2011"]]},"citation-key":"[@Bertin_SemiologyGraphicsDiagrams_2011]"}}],"schema":"https://github.com/citation-style-language/schema/raw/master/csl-citation.json"} </w:instrText>
      </w:r>
      <w:r>
        <w:fldChar w:fldCharType="separate"/>
      </w:r>
      <w:r>
        <w:t>(Bertin, Berg, &amp; Bertin, 2011)</w:t>
      </w:r>
      <w:r>
        <w:fldChar w:fldCharType="end"/>
      </w:r>
      <w:r>
        <w:t xml:space="preserve">.</w:t>
      </w:r>
    </w:p>
    <w:p>
      <w:pPr>
        <w:pStyle w:val="BodyText"/>
      </w:pPr>
      <w:r>
        <w:t xml:space="preserve">All three references</w:t>
      </w:r>
      <w:r>
        <w:t xml:space="preserve"> </w:t>
      </w:r>
      <w:r>
        <w:fldChar w:fldCharType="begin"/>
      </w:r>
      <w:r>
        <w:instrText xml:space="preserve"> ADDIN ZOTERO_ITEM CSL_CITATION {"citationID":"eRJrJ803","properties":{"formattedCitation":"[@knuth1984; @tufte2018; @bertin2011]","plainCitation":"[@knuth1984; @tufte2018; @bertin2011]","noteIndex":0},"citationItems":[{"id":80420,"uris":["http://zotero.org/groups/6333496/items/9KHPSE8E"],"itemData":{"DOI":"10.1093/comjnl/27.2.97","ISSN":"0010-4620, 1460-2067","URL":"https://academic.oup.com/comjnl/article-lookup/doi/10.1093/comjnl/27.2.97","accessed":{"date-parts":[["2025",12,4]]},"author":[{"family":"Knuth","given":"D. E."}],"citation-key":"[@Knuth_CJ_1984]","container-title":"The Computer Journal","id":80420,"issue":"2","issued":{"date-parts":[["1984",2,1]]},"journalAbbreviation":"Comput. J.","language":"en","page":"97-111","source":"DOI.org (Crossref)","title":"Literate programming","type":"article-journal","volume":"27"}},{"id":80421,"uris":["http://zotero.org/groups/6333496/items/PBL8EV7C"],"itemData":{"ISBN":"978-0-9613921-4-7","author":[{"family":"Tufte","given":"Edward R."}],"citation-key":"[@Tufte_VisualDisplayQuantitative_2018]","edition":"2 edition, 10 printing, April 2018","event-place":"Cheshire, Conn","id":80421,"issued":{"date-parts":[["2018"]]},"language":"en","number-of-pages":"197","publisher":"Graphics Press","publisher-place":"Cheshire, Conn","source":"K10plus ISBN","title":"The visual display of quantitative information","type":"book"}},{"id":80415,"uris":["http://zotero.org/groups/6333496/items/UMIXTUAY"],"itemData":{"ISBN":"978-1-58948-261-6","author":[{"family":"Bertin","given":"Jacques"},{"family":"Berg","given":"William J."},{"family":"Bertin","given":"Jacques"}],"citation-key":"[@Bertin_SemiologyGraphicsDiagrams_2011]","edition":"1. ed","event-place":"Redlands, Calif","id":80415,"issued":{"date-parts":[["2011"]]},"language":"eng","number-of-pages":"438","publisher":"ESRI Press","publisher-place":"Redlands, Calif","source":"K10plus ISBN","title":"Semiology of graphics: diagrams, networks, maps","title-short":"Semiology of graphics","type":"book"}}],"schema":"https://github.com/citation-style-language/schema/raw/master/csl-citation.json"} </w:instrText>
      </w:r>
      <w:r>
        <w:fldChar w:fldCharType="separate"/>
      </w:r>
      <w:r>
        <w:t>[@knuth1984; @tufte2018; @bertin2011]</w:t>
      </w:r>
      <w:r>
        <w:fldChar w:fldCharType="end"/>
      </w:r>
    </w:p>
    <w:bookmarkStart w:id="29" w:name="a-subsection"/>
    <w:p>
      <w:pPr>
        <w:pStyle w:val="Heading3"/>
      </w:pPr>
      <w:r>
        <w:t xml:space="preserve">A subsection</w:t>
      </w:r>
    </w:p>
    <w:p>
      <w:pPr>
        <w:pStyle w:val="FirstParagraph"/>
      </w:pPr>
      <w:r>
        <w:t xml:space="preserve">This subsection demonstrates level-3 headings.</w:t>
      </w:r>
    </w:p>
    <w:bookmarkEnd w:id="29"/>
    <w:bookmarkEnd w:id="30"/>
    <w:bookmarkStart w:id="34" w:name="table-styles-demonstration"/>
    <w:p>
      <w:pPr>
        <w:pStyle w:val="Heading2"/>
      </w:pPr>
      <w:r>
        <w:t xml:space="preserve">Table styles demonstration</w:t>
      </w:r>
    </w:p>
    <w:bookmarkStart w:id="31" w:name="X0038d0b544f6013f61a5a03e642e4400beb77f3"/>
    <w:p>
      <w:pPr>
        <w:pStyle w:val="Heading3"/>
      </w:pPr>
      <w:r>
        <w:t xml:space="preserve">Formal table (top/bottom borders, shaded header)</w:t>
      </w:r>
    </w:p>
    <w:tbl>
      <w:tblPr>
        <w:tblW w:w="9000" w:type="dxa"/>
        <w:tblBorders>
          <w:top w:val="single" w:sz="4" w:space="0" w:color="7F7F7F"/>
          <w:bottom w:val="single" w:sz="4" w:space="0" w:color="7F7F7F"/>
        </w:tblBorders>
        <w:tblLayout w:type="fixed"/>
        <w:tblCellMar>
          <w:bottom w:w="120" w:type="dxa"/>
        </w:tblCellMar>
      </w:tblPr>
      <w:tblGrid>
        <w:gridCol w:w="4500"/>
        <w:gridCol w:w="4500"/>
      </w:tblGrid>
      <w:tr>
        <w:tc>
          <w:tcPr>
            <w:tcW w:w="4500" w:type="dxa"/>
            <w:shd w:val="clear" w:color="auto" w:fill="D9D9D9"/>
          </w:tcPr>
          <w:p>
            <w:pPr>
              <w:spacing w:after="0" w:line="240" w:lineRule="auto"/>
            </w:pPr>
            <w:r>
              <w:t>Domain</w:t>
            </w:r>
          </w:p>
        </w:tc>
        <w:tc>
          <w:tcPr>
            <w:tcW w:w="4500" w:type="dxa"/>
            <w:shd w:val="clear" w:color="auto" w:fill="D9D9D9"/>
          </w:tcPr>
          <w:p>
            <w:pPr>
              <w:spacing w:after="0" w:line="240" w:lineRule="auto"/>
            </w:pPr>
            <w:r>
              <w:t>Responsibility</w:t>
            </w:r>
          </w:p>
        </w:tc>
      </w:tr>
      <w:tr>
        <w:tc>
          <w:tcPr>
            <w:tcW w:w="4500" w:type="dxa"/>
          </w:tcPr>
          <w:p>
            <w:pPr>
              <w:spacing w:after="0" w:line="240" w:lineRule="auto"/>
            </w:pPr>
            <w:r>
              <w:t>Research</w:t>
            </w:r>
          </w:p>
        </w:tc>
        <w:tc>
          <w:tcPr>
            <w:tcW w:w="4500" w:type="dxa"/>
          </w:tcPr>
          <w:p>
            <w:pPr>
              <w:spacing w:after="0" w:line="240" w:lineRule="auto"/>
            </w:pPr>
            <w:r>
              <w:t>Design studies and analyse data</w:t>
            </w:r>
          </w:p>
        </w:tc>
      </w:tr>
      <w:tr>
        <w:tc>
          <w:tcPr>
            <w:tcW w:w="4500" w:type="dxa"/>
          </w:tcPr>
          <w:p>
            <w:pPr>
              <w:spacing w:after="0" w:line="240" w:lineRule="auto"/>
            </w:pPr>
            <w:r>
              <w:t>Policy</w:t>
            </w:r>
          </w:p>
        </w:tc>
        <w:tc>
          <w:tcPr>
            <w:tcW w:w="4500" w:type="dxa"/>
          </w:tcPr>
          <w:p>
            <w:pPr>
              <w:spacing w:after="0" w:line="240" w:lineRule="auto"/>
            </w:pPr>
            <w:r>
              <w:t>Advise on implementation strategies</w:t>
            </w:r>
          </w:p>
        </w:tc>
      </w:tr>
      <w:tr>
        <w:tc>
          <w:tcPr>
            <w:tcW w:w="4500" w:type="dxa"/>
          </w:tcPr>
          <w:p>
            <w:pPr>
              <w:spacing w:after="0" w:line="240" w:lineRule="auto"/>
            </w:pPr>
            <w:r>
              <w:t>Community</w:t>
            </w:r>
          </w:p>
        </w:tc>
        <w:tc>
          <w:tcPr>
            <w:tcW w:w="4500" w:type="dxa"/>
          </w:tcPr>
          <w:p>
            <w:pPr>
              <w:spacing w:after="0" w:line="240" w:lineRule="auto"/>
            </w:pPr>
            <w:r>
              <w:t>Provide lived experience perspectives</w:t>
            </w:r>
          </w:p>
        </w:tc>
      </w:tr>
    </w:tbl>
    <w:bookmarkEnd w:id="31"/>
    <w:bookmarkStart w:id="32" w:name="grid-table-full-borders"/>
    <w:p>
      <w:pPr>
        <w:pStyle w:val="Heading3"/>
      </w:pPr>
      <w:r>
        <w:t xml:space="preserve">Grid table (full borders)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bottom w:w="12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pPr>
              <w:spacing w:after="0" w:line="240" w:lineRule="auto"/>
            </w:pPr>
            <w:r>
              <w:rPr>
                <w:b/>
              </w:rPr>
              <w:t>Version</w:t>
            </w:r>
          </w:p>
        </w:tc>
        <w:tc>
          <w:tcPr>
            <w:tcW w:w="3000" w:type="dxa"/>
          </w:tcPr>
          <w:p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  <w:tc>
          <w:tcPr>
            <w:tcW w:w="3000" w:type="dxa"/>
          </w:tcPr>
          <w:p>
            <w:pPr>
              <w:spacing w:after="0" w:line="240" w:lineRule="auto"/>
            </w:pPr>
            <w:r>
              <w:rPr>
                <w:b/>
              </w:rPr>
              <w:t>Date</w:t>
            </w:r>
          </w:p>
        </w:tc>
      </w:tr>
      <w:tr>
        <w:tc>
          <w:tcPr>
            <w:tcW w:w="3000" w:type="dxa"/>
          </w:tcPr>
          <w:p>
            <w:pPr>
              <w:spacing w:after="0" w:line="240" w:lineRule="auto"/>
            </w:pPr>
            <w:r>
              <w:t>1.0</w:t>
            </w:r>
          </w:p>
        </w:tc>
        <w:tc>
          <w:tcPr>
            <w:tcW w:w="3000" w:type="dxa"/>
          </w:tcPr>
          <w:p>
            <w:pPr>
              <w:spacing w:after="0" w:line="240" w:lineRule="auto"/>
            </w:pPr>
            <w:r>
              <w:t>Initial release</w:t>
            </w:r>
          </w:p>
        </w:tc>
        <w:tc>
          <w:tcPr>
            <w:tcW w:w="3000" w:type="dxa"/>
          </w:tcPr>
          <w:p>
            <w:pPr>
              <w:spacing w:after="0" w:line="240" w:lineRule="auto"/>
            </w:pPr>
            <w:r>
              <w:t>2025-01-15</w:t>
            </w:r>
          </w:p>
        </w:tc>
      </w:tr>
      <w:tr>
        <w:tc>
          <w:tcPr>
            <w:tcW w:w="3000" w:type="dxa"/>
          </w:tcPr>
          <w:p>
            <w:pPr>
              <w:spacing w:after="0" w:line="240" w:lineRule="auto"/>
            </w:pPr>
            <w:r>
              <w:t>1.1</w:t>
            </w:r>
          </w:p>
        </w:tc>
        <w:tc>
          <w:tcPr>
            <w:tcW w:w="3000" w:type="dxa"/>
          </w:tcPr>
          <w:p>
            <w:pPr>
              <w:spacing w:after="0" w:line="240" w:lineRule="auto"/>
            </w:pPr>
            <w:r>
              <w:t>Bug fixes</w:t>
            </w:r>
          </w:p>
        </w:tc>
        <w:tc>
          <w:tcPr>
            <w:tcW w:w="3000" w:type="dxa"/>
          </w:tcPr>
          <w:p>
            <w:pPr>
              <w:spacing w:after="0" w:line="240" w:lineRule="auto"/>
            </w:pPr>
            <w:r>
              <w:t>2025-02-01</w:t>
            </w:r>
          </w:p>
        </w:tc>
      </w:tr>
      <w:tr>
        <w:tc>
          <w:tcPr>
            <w:tcW w:w="3000" w:type="dxa"/>
          </w:tcPr>
          <w:p>
            <w:pPr>
              <w:spacing w:after="0" w:line="240" w:lineRule="auto"/>
            </w:pPr>
            <w:r>
              <w:t>2.0</w:t>
            </w:r>
          </w:p>
        </w:tc>
        <w:tc>
          <w:tcPr>
            <w:tcW w:w="3000" w:type="dxa"/>
          </w:tcPr>
          <w:p>
            <w:pPr>
              <w:spacing w:after="0" w:line="240" w:lineRule="auto"/>
            </w:pPr>
            <w:r>
              <w:t>Major update</w:t>
            </w:r>
          </w:p>
        </w:tc>
        <w:tc>
          <w:tcPr>
            <w:tcW w:w="3000" w:type="dxa"/>
          </w:tcPr>
          <w:p>
            <w:pPr>
              <w:spacing w:after="0" w:line="240" w:lineRule="auto"/>
            </w:pPr>
            <w:r>
              <w:t>2025-03-10</w:t>
            </w:r>
          </w:p>
        </w:tc>
      </w:tr>
    </w:tbl>
    <w:bookmarkEnd w:id="32"/>
    <w:bookmarkStart w:id="33" w:name="plain-table-pandoc-default"/>
    <w:p>
      <w:pPr>
        <w:pStyle w:val="Heading3"/>
      </w:pPr>
      <w:r>
        <w:t xml:space="preserve">Plain table (Pandoc default)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$2.50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$1.80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Bananas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$3.15</w:t>
            </w:r>
          </w:p>
        </w:tc>
      </w:tr>
    </w:tbl>
    <w:bookmarkEnd w:id="33"/>
    <w:bookmarkEnd w:id="34"/>
    <w:bookmarkStart w:id="36" w:name="landscape-section-demonstration"/>
    <w:p>
      <w:pPr>
        <w:pStyle w:val="Heading2"/>
      </w:pPr>
      <w:r>
        <w:t xml:space="preserve">Landscape section demonstration</w:t>
      </w:r>
    </w:p>
    <w:p>
      <w:pPr>
        <w:pStyle w:val="FirstParagraph"/>
      </w:pPr>
      <w:r>
        <w:t xml:space="preserve">Wide tables that don’t fit in portrait orientation can be placed in a landscape section. Use</w:t>
      </w:r>
      <w:r>
        <w:t xml:space="preserve"> </w:t>
      </w:r>
      <w:r>
        <w:t xml:space="preserve"> </w:t>
      </w:r>
      <w:r>
        <w:t xml:space="preserve">for the page break and</w:t>
      </w:r>
      <w:r>
        <w:t xml:space="preserve"> </w:t>
      </w:r>
      <w:r>
        <w:rPr>
          <w:rStyle w:val="VerbatimChar"/>
        </w:rPr>
        <w:t xml:space="preserve">::: section-landscape :::</w:t>
      </w:r>
      <w:r>
        <w:t xml:space="preserve"> </w:t>
      </w:r>
      <w:r>
        <w:t xml:space="preserve">to change section properties.</w:t>
      </w:r>
    </w:p>
    <w:p>
      <w:r>
        <w:br w:type="page"/>
      </w:r>
    </w:p>
    <w:p>
      <w:pPr>
        <w:sectPr>
          <w:type w:val="continuous"/>
          <w:pgSz w:w="12240" w:h="15840"/>
          <w:pgMar w:top="1137" w:right="1137" w:bottom="1137" w:left="1137" w:header="720" w:footer="720" w:gutter="0"/>
        </w:sectPr>
      </w:pPr>
    </w:p>
    <w:bookmarkStart w:id="35" w:name="wide-comparison-table"/>
    <w:p>
      <w:pPr>
        <w:pStyle w:val="Heading3"/>
      </w:pPr>
      <w:r>
        <w:t xml:space="preserve">Wide comparison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Metric A</w:t>
            </w:r>
          </w:p>
        </w:tc>
        <w:tc>
          <w:tcPr/>
          <w:p>
            <w:pPr>
              <w:pStyle w:val="Compact"/>
            </w:pPr>
            <w:r>
              <w:t xml:space="preserve">Metric B</w:t>
            </w:r>
          </w:p>
        </w:tc>
        <w:tc>
          <w:tcPr/>
          <w:p>
            <w:pPr>
              <w:pStyle w:val="Compact"/>
            </w:pPr>
            <w:r>
              <w:t xml:space="preserve">Metric C</w:t>
            </w:r>
          </w:p>
        </w:tc>
        <w:tc>
          <w:tcPr/>
          <w:p>
            <w:pPr>
              <w:pStyle w:val="Compact"/>
            </w:pPr>
            <w:r>
              <w:t xml:space="preserve">Metric D</w:t>
            </w:r>
          </w:p>
        </w:tc>
        <w:tc>
          <w:tcPr/>
          <w:p>
            <w:pPr>
              <w:pStyle w:val="Compact"/>
            </w:pPr>
            <w:r>
              <w:t xml:space="preserve">Metric E</w:t>
            </w:r>
          </w:p>
        </w:tc>
        <w:tc>
          <w:tcPr/>
          <w:p>
            <w:pPr>
              <w:pStyle w:val="Compact"/>
            </w:pPr>
            <w:r>
              <w:t xml:space="preserve">Metric F</w:t>
            </w:r>
          </w:p>
        </w:tc>
        <w:tc>
          <w:tcPr/>
          <w:p>
            <w:pPr>
              <w:pStyle w:val="Compact"/>
            </w:pPr>
            <w:r>
              <w:t xml:space="preserve">Metric G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1</w:t>
            </w:r>
          </w:p>
        </w:tc>
        <w:tc>
          <w:tcPr/>
          <w:p>
            <w:pPr>
              <w:pStyle w:val="Compact"/>
            </w:pPr>
            <w:r>
              <w:t xml:space="preserve">12.5</w:t>
            </w:r>
          </w:p>
        </w:tc>
        <w:tc>
          <w:tcPr/>
          <w:p>
            <w:pPr>
              <w:pStyle w:val="Compact"/>
            </w:pPr>
            <w:r>
              <w:t xml:space="preserve">23.8</w:t>
            </w:r>
          </w:p>
        </w:tc>
        <w:tc>
          <w:tcPr/>
          <w:p>
            <w:pPr>
              <w:pStyle w:val="Compact"/>
            </w:pPr>
            <w:r>
              <w:t xml:space="preserve">45.2</w:t>
            </w:r>
          </w:p>
        </w:tc>
        <w:tc>
          <w:tcPr/>
          <w:p>
            <w:pPr>
              <w:pStyle w:val="Compact"/>
            </w:pPr>
            <w:r>
              <w:t xml:space="preserve">67.9</w:t>
            </w:r>
          </w:p>
        </w:tc>
        <w:tc>
          <w:tcPr/>
          <w:p>
            <w:pPr>
              <w:pStyle w:val="Compact"/>
            </w:pPr>
            <w:r>
              <w:t xml:space="preserve">89.1</w:t>
            </w:r>
          </w:p>
        </w:tc>
        <w:tc>
          <w:tcPr/>
          <w:p>
            <w:pPr>
              <w:pStyle w:val="Compact"/>
            </w:pPr>
            <w:r>
              <w:t xml:space="preserve">34.6</w:t>
            </w:r>
          </w:p>
        </w:tc>
        <w:tc>
          <w:tcPr/>
          <w:p>
            <w:pPr>
              <w:pStyle w:val="Compact"/>
            </w:pPr>
            <w:r>
              <w:t xml:space="preserve">56.3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2</w:t>
            </w:r>
          </w:p>
        </w:tc>
        <w:tc>
          <w:tcPr/>
          <w:p>
            <w:pPr>
              <w:pStyle w:val="Compact"/>
            </w:pPr>
            <w:r>
              <w:t xml:space="preserve">15.3</w:t>
            </w:r>
          </w:p>
        </w:tc>
        <w:tc>
          <w:tcPr/>
          <w:p>
            <w:pPr>
              <w:pStyle w:val="Compact"/>
            </w:pPr>
            <w:r>
              <w:t xml:space="preserve">28.4</w:t>
            </w:r>
          </w:p>
        </w:tc>
        <w:tc>
          <w:tcPr/>
          <w:p>
            <w:pPr>
              <w:pStyle w:val="Compact"/>
            </w:pPr>
            <w:r>
              <w:t xml:space="preserve">52.1</w:t>
            </w:r>
          </w:p>
        </w:tc>
        <w:tc>
          <w:tcPr/>
          <w:p>
            <w:pPr>
              <w:pStyle w:val="Compact"/>
            </w:pPr>
            <w:r>
              <w:t xml:space="preserve">71.2</w:t>
            </w:r>
          </w:p>
        </w:tc>
        <w:tc>
          <w:tcPr/>
          <w:p>
            <w:pPr>
              <w:pStyle w:val="Compact"/>
            </w:pPr>
            <w:r>
              <w:t xml:space="preserve">92.5</w:t>
            </w:r>
          </w:p>
        </w:tc>
        <w:tc>
          <w:tcPr/>
          <w:p>
            <w:pPr>
              <w:pStyle w:val="Compact"/>
            </w:pPr>
            <w:r>
              <w:t xml:space="preserve">38.9</w:t>
            </w:r>
          </w:p>
        </w:tc>
        <w:tc>
          <w:tcPr/>
          <w:p>
            <w:pPr>
              <w:pStyle w:val="Compact"/>
            </w:pPr>
            <w:r>
              <w:t xml:space="preserve">61.7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3</w:t>
            </w:r>
          </w:p>
        </w:tc>
        <w:tc>
          <w:tcPr/>
          <w:p>
            <w:pPr>
              <w:pStyle w:val="Compact"/>
            </w:pPr>
            <w:r>
              <w:t xml:space="preserve">18.7</w:t>
            </w:r>
          </w:p>
        </w:tc>
        <w:tc>
          <w:tcPr/>
          <w:p>
            <w:pPr>
              <w:pStyle w:val="Compact"/>
            </w:pPr>
            <w:r>
              <w:t xml:space="preserve">31.2</w:t>
            </w:r>
          </w:p>
        </w:tc>
        <w:tc>
          <w:tcPr/>
          <w:p>
            <w:pPr>
              <w:pStyle w:val="Compact"/>
            </w:pPr>
            <w:r>
              <w:t xml:space="preserve">58.9</w:t>
            </w:r>
          </w:p>
        </w:tc>
        <w:tc>
          <w:tcPr/>
          <w:p>
            <w:pPr>
              <w:pStyle w:val="Compact"/>
            </w:pPr>
            <w:r>
              <w:t xml:space="preserve">75.6</w:t>
            </w:r>
          </w:p>
        </w:tc>
        <w:tc>
          <w:tcPr/>
          <w:p>
            <w:pPr>
              <w:pStyle w:val="Compact"/>
            </w:pPr>
            <w:r>
              <w:t xml:space="preserve">95.8</w:t>
            </w:r>
          </w:p>
        </w:tc>
        <w:tc>
          <w:tcPr/>
          <w:p>
            <w:pPr>
              <w:pStyle w:val="Compact"/>
            </w:pPr>
            <w:r>
              <w:t xml:space="preserve">42.3</w:t>
            </w:r>
          </w:p>
        </w:tc>
        <w:tc>
          <w:tcPr/>
          <w:p>
            <w:pPr>
              <w:pStyle w:val="Compact"/>
            </w:pPr>
            <w:r>
              <w:t xml:space="preserve">66.2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4</w:t>
            </w:r>
          </w:p>
        </w:tc>
        <w:tc>
          <w:tcPr/>
          <w:p>
            <w:pPr>
              <w:pStyle w:val="Compact"/>
            </w:pPr>
            <w:r>
              <w:t xml:space="preserve">21.4</w:t>
            </w:r>
          </w:p>
        </w:tc>
        <w:tc>
          <w:tcPr/>
          <w:p>
            <w:pPr>
              <w:pStyle w:val="Compact"/>
            </w:pPr>
            <w:r>
              <w:t xml:space="preserve">35.8</w:t>
            </w:r>
          </w:p>
        </w:tc>
        <w:tc>
          <w:tcPr/>
          <w:p>
            <w:pPr>
              <w:pStyle w:val="Compact"/>
            </w:pPr>
            <w:r>
              <w:t xml:space="preserve">63.4</w:t>
            </w:r>
          </w:p>
        </w:tc>
        <w:tc>
          <w:tcPr/>
          <w:p>
            <w:pPr>
              <w:pStyle w:val="Compact"/>
            </w:pPr>
            <w:r>
              <w:t xml:space="preserve">79.1</w:t>
            </w:r>
          </w:p>
        </w:tc>
        <w:tc>
          <w:tcPr/>
          <w:p>
            <w:pPr>
              <w:pStyle w:val="Compact"/>
            </w:pPr>
            <w:r>
              <w:t xml:space="preserve">98.2</w:t>
            </w:r>
          </w:p>
        </w:tc>
        <w:tc>
          <w:tcPr/>
          <w:p>
            <w:pPr>
              <w:pStyle w:val="Compact"/>
            </w:pPr>
            <w:r>
              <w:t xml:space="preserve">45.7</w:t>
            </w:r>
          </w:p>
        </w:tc>
        <w:tc>
          <w:tcPr/>
          <w:p>
            <w:pPr>
              <w:pStyle w:val="Compact"/>
            </w:pPr>
            <w:r>
              <w:t xml:space="preserve">70.8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</w:tbl>
    <w:p>
      <w:r>
        <w:br w:type="page"/>
      </w:r>
    </w:p>
    <w:p>
      <w:pPr>
        <w:pStyle w:val="BodyText"/>
      </w:pPr>
      <w:r>
        <w:t xml:space="preserve">This text appears after the landscape section and should return to portrait orientation.</w:t>
      </w:r>
    </w:p>
    <w:bookmarkEnd w:id="35"/>
    <w:bookmarkEnd w:id="36"/>
    <w:bookmarkStart w:id="37" w:name="references"/>
    <w:p>
      <w:pPr>
        <w:pStyle w:val="Heading2"/>
      </w:pPr>
      <w:r>
        <w:t xml:space="preserve">References</w:t>
      </w:r>
    </w:p>
    <w:p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>
        <w:t>[Bibliography]</w:t>
      </w:r>
      <w:r>
        <w:fldChar w:fldCharType="end"/>
      </w:r>
    </w:p>
    <w:p>
      <w:pPr>
        <w:sectPr>
          <w:type w:val="continuous"/>
          <w:pgSz w:w="15840" w:h="12240" w:orient="landscape"/>
          <w:pgMar w:top="720" w:right="720" w:bottom="720" w:left="720" w:header="720" w:footer="720" w:gutter="0"/>
        </w:sectPr>
      </w:pPr>
    </w:p>
    <w:bookmarkEnd w:id="37"/>
    <w:sectPr>
      <w:footerReference r:id="rId10" w:type="first"/>
      <w:footerReference r:id="rId9" w:type="default"/>
      <w:pgSz w:h="15840" w:w="12240"/>
      <w:pgMar w:bottom="1138" w:footer="720" w:header="720" w:left="1138" w:right="1138" w:top="1138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tabs>
        <w:tab w:val="center" w:pos="4680"/>
        <w:tab w:val="right" w:pos="9360"/>
      </w:tabs>
    </w:pPr>
    <w:r>
      <w:tab/>
    </w:r>
    <w:r>
      <w:tab/>
    </w:r>
    <w:r>
      <w:rPr>
        <w:rFonts w:ascii="Arial" w:hAnsi="Arial" w:eastAsia="Arial" w:cs="Arial"/>
        <w:sz/>
        <w:color/>
      </w:rPr>
      <w:t xml:space="preserve">Page </w:t>
    </w:r>
    <w:r>
      <w:rPr>
        <w:rFonts w:ascii="Arial" w:hAnsi="Arial" w:eastAsia="Arial" w:cs="Arial"/>
        <w:sz/>
        <w:color/>
        <w:noProof/>
      </w:rPr>
      <w:fldChar w:fldCharType="begin"/>
    </w:r>
    <w:r>
      <w:rPr>
        <w:rFonts w:ascii="Arial" w:hAnsi="Arial" w:eastAsia="Arial" w:cs="Arial"/>
        <w:sz/>
        <w:color/>
      </w:rPr>
      <w:instrText> PAGE </w:instrText>
    </w:r>
    <w:r>
      <w:rPr>
        <w:rFonts w:ascii="Arial" w:hAnsi="Arial" w:eastAsia="Arial" w:cs="Arial"/>
        <w:sz/>
        <w:color/>
        <w:noProof/>
      </w:rPr>
      <w:fldChar w:fldCharType="separate"/>
    </w:r>
    <w:r>
      <w:rPr>
        <w:rFonts w:ascii="Arial" w:hAnsi="Arial" w:eastAsia="Arial" w:cs="Arial"/>
        <w:sz/>
        <w:color/>
        <w:noProof/>
      </w:rPr>
      <w:t>1</w:t>
    </w:r>
    <w:r>
      <w:rPr>
        <w:rFonts w:ascii="Arial" w:hAnsi="Arial" w:eastAsia="Arial" w:cs="Arial"/>
        <w:sz/>
        <w:color/>
        <w:noProof/>
      </w:rP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jc w:val="cen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hyphenationZone w:val="360"/>
  <w:evenAndOddHeaders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24"/>
      <w:szCs w:val="24"/>
      <w:color w:val="000000"/>
    </w:rPr>
    <w:pPr>
      <w:spacing w:line="360" w:lineRule="auto"/>
    </w:p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  <w:sz w:val="24"/>
      <w:szCs w:val="24"/>
    </w:rPr>
  </w:style>
  <w:style w:styleId="Date" w:type="paragraph">
    <w:name w:val="Date"/>
    <w:link w:val="DateChar"/>
    <w:next w:val="BodyText"/>
    <w:qFormat/>
    <w:pPr>
      <w:keepNext/>
      <w:keepLines/>
      <w:jc w:val="center"/>
    </w:pPr>
    <w:rPr>
      <w:rFonts w:ascii="Arial" w:cs="Arial" w:eastAsia="Arial" w:hAnsi="Arial"/>
      <w:sz w:val="22"/>
      <w:szCs w:val="22"/>
      <w:i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sz w:val="32"/>
      <w:szCs w:val="32"/>
      <w:color w:val="2C3E50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sz w:val="28"/>
      <w:szCs w:val="28"/>
      <w:color w:val="2C3E5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themeColor="accent1" w:val="4F81BD"/>
      <w:sz w:val="24"/>
      <w:szCs w:val="24"/>
      <w:i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DateChar" w:type="character">
    <w:name w:val="Date Char"/>
    <w:link w:val="Date"/>
    <w:rPr>
      <w:rFonts w:ascii="Arial" w:cs="Arial" w:eastAsia="Arial" w:hAnsi="Arial"/>
      <w:sz w:val="22"/>
      <w:szCs w:val="22"/>
      <w:i/>
    </w:rPr>
  </w:style>
  <w:style w:styleId="footer" w:type="paragraph">
    <w:name w:val="Footer"/>
    <w:rPr>
      <w:rFonts w:ascii="Arial" w:cs="Arial" w:eastAsia="Arial" w:hAnsi="Arial"/>
      <w:sz w:val="18"/>
      <w:szCs w:val="18"/>
      <w:color w:val="666666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Id="rId10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 Example Document</dc:title>
  <dc:creator>Your Name</dc:creator>
  <cp:keywords/>
  <dcterms:created xsi:type="dcterms:W3CDTF">2025-12-27T02:36:12Z</dcterms:created>
  <dcterms:modified xsi:type="dcterms:W3CDTF">2025-12-27T02:36:12Z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sl">
    <vt:lpwstr>https://www.zotero.org/styles/vancouver</vt:lpwstr>
  </property>
  <property fmtid="{D5CDD505-2E9C-101B-9397-08002B2CF9AE}" pid="6" name="date">
    <vt:lpwstr>2025-12-23</vt:lpwstr>
  </property>
  <property fmtid="{D5CDD505-2E9C-101B-9397-08002B2CF9AE}" pid="7" name="docstyl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revealjs-plugins">
    <vt:lpwstr/>
  </property>
  <property fmtid="{D5CDD505-2E9C-101B-9397-08002B2CF9AE}" pid="13" name="toc-title">
    <vt:lpwstr>Table of contents</vt:lpwstr>
  </property>
</Properties>
</file>