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15960" w14:textId="6F5B4442" w:rsidR="00F87FAD" w:rsidRDefault="00000000">
      <w:pPr>
        <w:spacing w:after="6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Compute, Credit</w:t>
      </w:r>
      <w:r w:rsidR="00F87FAD">
        <w:rPr>
          <w:b/>
          <w:bCs/>
          <w:sz w:val="52"/>
          <w:szCs w:val="52"/>
        </w:rPr>
        <w:t xml:space="preserve"> &amp; </w:t>
      </w:r>
      <w:r>
        <w:rPr>
          <w:b/>
          <w:bCs/>
          <w:sz w:val="52"/>
          <w:szCs w:val="52"/>
        </w:rPr>
        <w:t>Couches</w:t>
      </w:r>
    </w:p>
    <w:p w14:paraId="01EC3B5B" w14:textId="77777777" w:rsidR="00E2059E" w:rsidRDefault="00000000">
      <w:pPr>
        <w:spacing w:after="60"/>
      </w:pPr>
      <w:r>
        <w:rPr>
          <w:color w:val="444444"/>
          <w:sz w:val="28"/>
          <w:szCs w:val="28"/>
        </w:rPr>
        <w:t>AI Data-Center Debt, the 10-Year Treasury, Housing Turnover, and the Outlook for U.S. Furniture Sales</w:t>
      </w:r>
    </w:p>
    <w:p w14:paraId="5EADCF33" w14:textId="77777777" w:rsidR="00E2059E" w:rsidRDefault="00000000">
      <w:pPr>
        <w:spacing w:after="300"/>
      </w:pPr>
      <w:r>
        <w:rPr>
          <w:color w:val="7A7974"/>
          <w:sz w:val="20"/>
          <w:szCs w:val="20"/>
        </w:rPr>
        <w:t xml:space="preserve">A research briefing • August 25, </w:t>
      </w:r>
      <w:proofErr w:type="gramStart"/>
      <w:r>
        <w:rPr>
          <w:color w:val="7A7974"/>
          <w:sz w:val="20"/>
          <w:szCs w:val="20"/>
        </w:rPr>
        <w:t>2026</w:t>
      </w:r>
      <w:proofErr w:type="gramEnd"/>
      <w:r>
        <w:rPr>
          <w:color w:val="7A7974"/>
          <w:sz w:val="20"/>
          <w:szCs w:val="20"/>
        </w:rPr>
        <w:t xml:space="preserve"> • Includes a 24-month housing-turnover outlook and a 2026–2028 furniture-sales scenario model</w:t>
      </w:r>
    </w:p>
    <w:p w14:paraId="4CF2B9C3" w14:textId="77777777" w:rsidR="00E2059E" w:rsidRDefault="00000000">
      <w:pPr>
        <w:pStyle w:val="Heading1"/>
      </w:pPr>
      <w:r>
        <w:t>Executive Summary</w:t>
      </w:r>
    </w:p>
    <w:p w14:paraId="16CD3D57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 xml:space="preserve">The AI infrastructure build-out has become one of the largest capital programs in U.S. history. The four largest </w:t>
      </w:r>
      <w:proofErr w:type="spellStart"/>
      <w:r>
        <w:t>hyperscalers</w:t>
      </w:r>
      <w:proofErr w:type="spellEnd"/>
      <w:r>
        <w:t xml:space="preserve"> alone have guided to roughly $700 billion of 2026 capital spending, up more than 60% from 2025</w:t>
      </w:r>
      <w:r>
        <w:rPr>
          <w:rStyle w:val="FootnoteReference"/>
        </w:rPr>
        <w:footnoteReference w:id="1"/>
      </w:r>
      <w:r>
        <w:t>, and Moody’s projects at least $3 trillion of data-center investment through 2030</w:t>
      </w:r>
      <w:r>
        <w:rPr>
          <w:rStyle w:val="FootnoteReference"/>
        </w:rPr>
        <w:footnoteReference w:id="2"/>
      </w:r>
      <w:r>
        <w:t>.</w:t>
      </w:r>
    </w:p>
    <w:p w14:paraId="5AB701BA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That build-out is increasingly debt-financed. AI-linked investment-grade bond issuance reached about $220 billion by early August 2026, versus $12.5 billion in the same period of 2025</w:t>
      </w:r>
      <w:r>
        <w:rPr>
          <w:rStyle w:val="FootnoteReference"/>
        </w:rPr>
        <w:footnoteReference w:id="3"/>
      </w:r>
      <w:r>
        <w:t xml:space="preserve"> — including the largest corporate bond sale in history (Amazon, $53.8 billion, March 2026)</w:t>
      </w:r>
      <w:r>
        <w:rPr>
          <w:rStyle w:val="FootnoteReference"/>
        </w:rPr>
        <w:footnoteReference w:id="4"/>
      </w:r>
      <w:r>
        <w:t>.</w:t>
      </w:r>
    </w:p>
    <w:p w14:paraId="39CA3595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Heavy bond supply — corporate or governmental — pushes bond prices down and yields up. The Dallas Fed estimates 2026 AI-related issuance equals up to $360 billion in 10-year equivalents, roughly one-eighth of expected Treasury duration supply: real, but second-order</w:t>
      </w:r>
      <w:r>
        <w:rPr>
          <w:rStyle w:val="FootnoteReference"/>
        </w:rPr>
        <w:footnoteReference w:id="5"/>
      </w:r>
      <w:r>
        <w:t>. The dominant force behind the 10-year yield (4.74% on August 21, 2026</w:t>
      </w:r>
      <w:r>
        <w:rPr>
          <w:rStyle w:val="FootnoteReference"/>
        </w:rPr>
        <w:footnoteReference w:id="6"/>
      </w:r>
      <w:r>
        <w:t>) remains federal deficits near $1.9 trillion a year, with debt held by the public headed from 101% to 120% of GDP by 2036</w:t>
      </w:r>
      <w:r>
        <w:rPr>
          <w:rStyle w:val="FootnoteReference"/>
        </w:rPr>
        <w:footnoteReference w:id="7"/>
      </w:r>
      <w:r>
        <w:t>.</w:t>
      </w:r>
    </w:p>
    <w:p w14:paraId="1D765605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Mortgage rates price off the 10-year Treasury plus a spread that is still about 0.3 percentage point wider than its 1990–2019 norm. At 6.65% (August 20, 2026)</w:t>
      </w:r>
      <w:r>
        <w:rPr>
          <w:rStyle w:val="FootnoteReference"/>
        </w:rPr>
        <w:footnoteReference w:id="8"/>
      </w:r>
      <w:r>
        <w:t xml:space="preserve">, the 30-year rate keeps the </w:t>
      </w:r>
      <w:r>
        <w:lastRenderedPageBreak/>
        <w:t xml:space="preserve">FHFA-documented lock-in effect binding: each percentage point by which a borrower’s existing rate sits below market cuts the probability of </w:t>
      </w:r>
      <w:proofErr w:type="gramStart"/>
      <w:r>
        <w:t>sale</w:t>
      </w:r>
      <w:proofErr w:type="gramEnd"/>
      <w:r>
        <w:t xml:space="preserve"> by 18.1%</w:t>
      </w:r>
      <w:r>
        <w:rPr>
          <w:rStyle w:val="FootnoteReference"/>
        </w:rPr>
        <w:footnoteReference w:id="9"/>
      </w:r>
      <w:r>
        <w:t>.</w:t>
      </w:r>
    </w:p>
    <w:p w14:paraId="5FCEBCD4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Existing-home sales have run near 4 million for a fourth straight year (July 2026: 4.06 million SAAR)</w:t>
      </w:r>
      <w:r>
        <w:rPr>
          <w:rStyle w:val="FootnoteReference"/>
        </w:rPr>
        <w:footnoteReference w:id="10"/>
      </w:r>
      <w:r>
        <w:t>. Our central 24-month outlook: roughly 4.0–4.2 million through mid-2027, improving to only 4.2–4.5 million by August 2028 — still about a quarter below the 2021 pace.</w:t>
      </w:r>
    </w:p>
    <w:p w14:paraId="192F0801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Housing turnover is the single strongest cyclical driver of furniture demand: home purchases explain 40–75% of the variability in home-related spending across housing cycles</w:t>
      </w:r>
      <w:r>
        <w:rPr>
          <w:rStyle w:val="FootnoteReference"/>
        </w:rPr>
        <w:footnoteReference w:id="11"/>
      </w:r>
      <w:r>
        <w:t>, and buyers of new homes spend about seven times what non-movers spend on furnishings in the first year</w:t>
      </w:r>
      <w:r>
        <w:rPr>
          <w:rStyle w:val="FootnoteReference"/>
        </w:rPr>
        <w:footnoteReference w:id="12"/>
      </w:r>
      <w:r>
        <w:t>.</w:t>
      </w:r>
    </w:p>
    <w:p w14:paraId="3C52D2EC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t>Our scenario model puts 2028 furniture-store sales at $143 billion in the base case, $137 billion if mortgage rates persist at 6.7–7%, and $148 billion if rates fall toward 6% — an $11 billion annual swing that hinges largely on the path of the 10-year Treasury.</w:t>
      </w:r>
    </w:p>
    <w:p w14:paraId="5072894A" w14:textId="77777777" w:rsidR="00E2059E" w:rsidRDefault="00000000">
      <w:pPr>
        <w:pStyle w:val="Heading1"/>
      </w:pPr>
      <w:r>
        <w:t>1. The Transmission Chain</w:t>
      </w:r>
    </w:p>
    <w:p w14:paraId="5509C8C1" w14:textId="77777777" w:rsidR="00E2059E" w:rsidRDefault="00000000">
      <w:pPr>
        <w:spacing w:after="160" w:line="300" w:lineRule="auto"/>
      </w:pPr>
      <w:r>
        <w:t xml:space="preserve">This paper traces a five-link chain that connects the AI data-center boom to the furniture showroom: (1) </w:t>
      </w:r>
      <w:proofErr w:type="spellStart"/>
      <w:r>
        <w:t>hyperscaler</w:t>
      </w:r>
      <w:proofErr w:type="spellEnd"/>
      <w:r>
        <w:t xml:space="preserve"> capital spending creates enormous financing needs; (2) the resulting bond issuance adds duration supply that competes with Treasuries for investor capital; (3) added duration supply, alongside much larger fiscal deficits, raises the term premium and the 10-year Treasury yield; (4) the 30-year mortgage prices off the 10-year plus a spread, so higher long yields keep mortgage rates near 7%; and (5) expensive mortgages suppress housing turnover, which is the principal cyclical driver of furniture purchases.</w:t>
      </w:r>
    </w:p>
    <w:p w14:paraId="73676B07" w14:textId="77777777" w:rsidR="00E2059E" w:rsidRDefault="00000000">
      <w:pPr>
        <w:spacing w:after="160" w:line="300" w:lineRule="auto"/>
      </w:pPr>
      <w:r>
        <w:t xml:space="preserve">One point of mechanics deserves clarity at the outset, because it is often garbled in commentary: heavy borrowing does not push bond rates lower — it pushes bond </w:t>
      </w:r>
      <w:r>
        <w:rPr>
          <w:i/>
          <w:iCs/>
        </w:rPr>
        <w:t>prices</w:t>
      </w:r>
      <w:r>
        <w:t xml:space="preserve"> lower, and because a bond’s price and its yield move inversely, yields rise. When corporations and the Treasury together ask investors to absorb more long-duration paper, investors demand more compensation — a higher term premium — to hold it. As the Dallas Fed puts it, "an increase in expected duration supply — whether sourced from Treasury or corporate issuance — puts upward pressure on the term premium"</w:t>
      </w:r>
      <w:r>
        <w:rPr>
          <w:rStyle w:val="FootnoteReference"/>
        </w:rPr>
        <w:footnoteReference w:id="13"/>
      </w:r>
      <w:r>
        <w:t>. Each link in the chain is examined below against the strongest available evidence.</w:t>
      </w:r>
    </w:p>
    <w:p w14:paraId="6181E05B" w14:textId="77777777" w:rsidR="00E2059E" w:rsidRDefault="00000000">
      <w:pPr>
        <w:pStyle w:val="Heading1"/>
      </w:pPr>
      <w:r>
        <w:lastRenderedPageBreak/>
        <w:t>2. The AI Build-Out and How It Is Being Financed</w:t>
      </w:r>
    </w:p>
    <w:p w14:paraId="4E88E3CA" w14:textId="77777777" w:rsidR="00E2059E" w:rsidRDefault="00000000">
      <w:pPr>
        <w:spacing w:after="160" w:line="300" w:lineRule="auto"/>
      </w:pPr>
      <w:r>
        <w:t>The scale of the data-center program is without modern precedent. Amazon has guided 2026 capital spending to roughly $220 billion, raised from $200 billion in July, with CEO Andy Jassy noting even that "would not be enough capacity to meet all the demand"</w:t>
      </w:r>
      <w:r>
        <w:rPr>
          <w:rStyle w:val="FootnoteReference"/>
        </w:rPr>
        <w:footnoteReference w:id="14"/>
      </w:r>
      <w:r>
        <w:t>. Microsoft plans about $190 billion for calendar 2026, up 61% from 2025</w:t>
      </w:r>
      <w:r>
        <w:rPr>
          <w:rStyle w:val="FootnoteReference"/>
        </w:rPr>
        <w:footnoteReference w:id="15"/>
      </w:r>
      <w:r>
        <w:t>; Alphabet raised its guidance to $195–205 billion</w:t>
      </w:r>
      <w:r>
        <w:rPr>
          <w:rStyle w:val="FootnoteReference"/>
        </w:rPr>
        <w:footnoteReference w:id="16"/>
      </w:r>
      <w:r>
        <w:t>; and Meta narrowed its range to $130–145 billion — roughly double its 2025 outlay of $72.2 billion</w:t>
      </w:r>
      <w:r>
        <w:rPr>
          <w:rStyle w:val="FootnoteReference"/>
        </w:rPr>
        <w:footnoteReference w:id="17"/>
      </w:r>
      <w:r>
        <w:t>. Combined, the big four are expected to spend nearly $700 billion in 2026, up more than 60% year over year, even as their combined free cash flow fell from $237 billion (2024) to $200 billion (2025)</w:t>
      </w:r>
      <w:r>
        <w:rPr>
          <w:rStyle w:val="FootnoteReference"/>
        </w:rPr>
        <w:footnoteReference w:id="18"/>
      </w:r>
      <w:r>
        <w:t>. Looking further out, Moody’s expects at least $3 trillion of data-center-related investment through about 2030</w:t>
      </w:r>
      <w:r>
        <w:rPr>
          <w:rStyle w:val="FootnoteReference"/>
        </w:rPr>
        <w:footnoteReference w:id="19"/>
      </w:r>
      <w:r>
        <w:t>, and McKinsey estimates data centers worldwide will require $6.7 trillion by 2030, of which $5.2 trillion is for AI-capable capacity</w:t>
      </w:r>
      <w:r>
        <w:rPr>
          <w:rStyle w:val="FootnoteReference"/>
        </w:rPr>
        <w:footnoteReference w:id="20"/>
      </w:r>
      <w:r>
        <w:t>.</w:t>
      </w:r>
    </w:p>
    <w:p w14:paraId="7497A953" w14:textId="77777777" w:rsidR="00E2059E" w:rsidRDefault="00000000">
      <w:pPr>
        <w:spacing w:after="160" w:line="300" w:lineRule="auto"/>
      </w:pPr>
      <w:r>
        <w:t xml:space="preserve">Through 2024, this spending was financed almost entirely from operating cash flow. That changed decisively in late 2025. </w:t>
      </w:r>
      <w:proofErr w:type="spellStart"/>
      <w:r>
        <w:t>Hyperscaler</w:t>
      </w:r>
      <w:proofErr w:type="spellEnd"/>
      <w:r>
        <w:t xml:space="preserve"> gross bond issuance topped $100 billion in 2025, mostly at </w:t>
      </w:r>
      <w:proofErr w:type="gramStart"/>
      <w:r>
        <w:t>maturities</w:t>
      </w:r>
      <w:proofErr w:type="gramEnd"/>
      <w:r>
        <w:t xml:space="preserve"> beyond five years</w:t>
      </w:r>
      <w:r>
        <w:rPr>
          <w:rStyle w:val="FootnoteReference"/>
        </w:rPr>
        <w:footnoteReference w:id="21"/>
      </w:r>
      <w:r>
        <w:t>. Meta opened the landmark phase with a $30 billion six-tranche deal in October 2025 that drew a record $125 billion of orders</w:t>
      </w:r>
      <w:r>
        <w:rPr>
          <w:rStyle w:val="FootnoteReference"/>
        </w:rPr>
        <w:footnoteReference w:id="22"/>
      </w:r>
      <w:r>
        <w:t>; Oracle sold $18 billion in September 2025</w:t>
      </w:r>
      <w:r>
        <w:rPr>
          <w:rStyle w:val="FootnoteReference"/>
        </w:rPr>
        <w:footnoteReference w:id="23"/>
      </w:r>
      <w:r>
        <w:t>; Alphabet followed with $25 billion in November 2025</w:t>
      </w:r>
      <w:r>
        <w:rPr>
          <w:rStyle w:val="FootnoteReference"/>
        </w:rPr>
        <w:footnoteReference w:id="24"/>
      </w:r>
      <w:r>
        <w:t>; and in March 2026 Amazon completed the largest corporate bond sale in history — about $53.8 billion across U.S. dollar and euro tranches, breaking Verizon’s record that had stood since 2013</w:t>
      </w:r>
      <w:r>
        <w:rPr>
          <w:rStyle w:val="FootnoteReference"/>
        </w:rPr>
        <w:footnoteReference w:id="25"/>
      </w:r>
      <w:r>
        <w:t xml:space="preserve">. By early August 2026, AI-linked investment-grade issuance had reached about $220 billion for the year, versus $12.5 billion in the comparable 2025 period, and signs of investor fatigue were emerging: technology spreads </w:t>
      </w:r>
      <w:r>
        <w:lastRenderedPageBreak/>
        <w:t>moved 9 basis points wider than the investment-grade market overall — a historic reversal — and Amazon’s July 2026 deal priced at roughly double the spread of comparable paper a year earlier</w:t>
      </w:r>
      <w:r>
        <w:rPr>
          <w:rStyle w:val="FootnoteReference"/>
        </w:rPr>
        <w:footnoteReference w:id="26"/>
      </w:r>
      <w:r>
        <w:t>.</w:t>
      </w:r>
    </w:p>
    <w:p w14:paraId="7947D966" w14:textId="77777777" w:rsidR="00E2059E" w:rsidRDefault="00000000">
      <w:pPr>
        <w:spacing w:after="160" w:line="300" w:lineRule="auto"/>
      </w:pPr>
      <w:r>
        <w:t xml:space="preserve">The visible bond supply also understates the full financing effort. Moody’s calculates that the five largest </w:t>
      </w:r>
      <w:proofErr w:type="spellStart"/>
      <w:r>
        <w:t>hyperscalers</w:t>
      </w:r>
      <w:proofErr w:type="spellEnd"/>
      <w:r>
        <w:t xml:space="preserve"> carried $969 billion of undiscounted future lease commitments at the end of 2025, of which $662 billion had not yet commenced and therefore sits off balance sheet — equivalent to 113% of their adjusted debt</w:t>
      </w:r>
      <w:r>
        <w:rPr>
          <w:rStyle w:val="FootnoteReference"/>
        </w:rPr>
        <w:footnoteReference w:id="27"/>
      </w:r>
      <w:r>
        <w:t>. The BIS documents parallel channels: joint ventures and special-purpose entities with private-credit firms, lease-serviced debt, and data-center securitizations</w:t>
      </w:r>
      <w:r>
        <w:rPr>
          <w:rStyle w:val="FootnoteReference"/>
        </w:rPr>
        <w:footnoteReference w:id="28"/>
      </w:r>
      <w:r>
        <w:t>. Private credit extended to AI-related firms has grown from near zero to more than $200 billion, and the BIS cautions that AI loan spreads are statistically indistinguishable from non-AI loans — possible evidence of risk underpricing</w:t>
      </w:r>
      <w:r>
        <w:rPr>
          <w:rStyle w:val="FootnoteReference"/>
        </w:rPr>
        <w:footnoteReference w:id="29"/>
      </w:r>
      <w:r>
        <w:t xml:space="preserve">. The IMF counts </w:t>
      </w:r>
      <w:proofErr w:type="spellStart"/>
      <w:r>
        <w:t>hyperscaler</w:t>
      </w:r>
      <w:proofErr w:type="spellEnd"/>
      <w:r>
        <w:t xml:space="preserve"> debt outstanding near $800 billion and projects AI capital spending could top $3.4 trillion by 2029–2030</w:t>
      </w:r>
      <w:r>
        <w:rPr>
          <w:rStyle w:val="FootnoteReference"/>
        </w:rPr>
        <w:footnoteReference w:id="30"/>
      </w:r>
      <w:r>
        <w:t>.</w:t>
      </w:r>
    </w:p>
    <w:p w14:paraId="546C0ED2" w14:textId="77777777" w:rsidR="00E2059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80F1FCE" wp14:editId="4743E905">
            <wp:extent cx="5943600" cy="3190875"/>
            <wp:effectExtent l="0" t="0" r="0" b="0"/>
            <wp:docPr id="1" name="ai_capex" descr="The 2026 hyperscaler capital program and the surge in AI-linked bond issuance." title="The 2026 hyperscaler capital program and the surge in AI-linked bond issuan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765D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 xml:space="preserve">Figure 1. The 2026 </w:t>
      </w:r>
      <w:proofErr w:type="spellStart"/>
      <w:r>
        <w:rPr>
          <w:i/>
          <w:iCs/>
          <w:color w:val="7A7974"/>
          <w:sz w:val="18"/>
          <w:szCs w:val="18"/>
        </w:rPr>
        <w:t>hyperscaler</w:t>
      </w:r>
      <w:proofErr w:type="spellEnd"/>
      <w:r>
        <w:rPr>
          <w:i/>
          <w:iCs/>
          <w:color w:val="7A7974"/>
          <w:sz w:val="18"/>
          <w:szCs w:val="18"/>
        </w:rPr>
        <w:t xml:space="preserve"> capital program and the surge in AI-linked bond issuance.</w:t>
      </w:r>
    </w:p>
    <w:p w14:paraId="11A6B317" w14:textId="77777777" w:rsidR="00E2059E" w:rsidRDefault="00000000">
      <w:pPr>
        <w:pStyle w:val="Heading1"/>
      </w:pPr>
      <w:r>
        <w:t>3. What Is Actually Driving the 10-Year Treasury Yield</w:t>
      </w:r>
    </w:p>
    <w:p w14:paraId="43314303" w14:textId="77777777" w:rsidR="00E2059E" w:rsidRDefault="00000000">
      <w:pPr>
        <w:spacing w:after="160" w:line="300" w:lineRule="auto"/>
      </w:pPr>
      <w:r>
        <w:lastRenderedPageBreak/>
        <w:t>The 10-year Treasury yield stood at 4.74% on August 21, 2026</w:t>
      </w:r>
      <w:r>
        <w:rPr>
          <w:rStyle w:val="FootnoteReference"/>
        </w:rPr>
        <w:footnoteReference w:id="31"/>
      </w:r>
      <w:r>
        <w:t xml:space="preserve">, up from about 4.0% in October 2025, and the 30-year </w:t>
      </w:r>
      <w:proofErr w:type="gramStart"/>
      <w:r>
        <w:t>touched</w:t>
      </w:r>
      <w:proofErr w:type="gramEnd"/>
      <w:r>
        <w:t xml:space="preserve"> its highest level since 2007 in mid-August as a global selloff in long-dated government debt gathered pace</w:t>
      </w:r>
      <w:r>
        <w:rPr>
          <w:rStyle w:val="FootnoteReference"/>
        </w:rPr>
        <w:footnoteReference w:id="32"/>
      </w:r>
      <w:r>
        <w:t>. Decomposing the move matters for any forecast, because the different drivers have different half-lives.</w:t>
      </w:r>
    </w:p>
    <w:p w14:paraId="53E492C5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Fiscal supply is the first-order force. </w:t>
      </w:r>
      <w:r>
        <w:t>The Congressional Budget Office projects a $1.9 trillion deficit for fiscal 2026 and rising thereafter, with debt held by the public climbing from 101% of GDP to 120% by 2036 — surpassing the World War II record</w:t>
      </w:r>
      <w:r>
        <w:rPr>
          <w:rStyle w:val="FootnoteReference"/>
        </w:rPr>
        <w:footnoteReference w:id="33"/>
      </w:r>
      <w:r>
        <w:t>. The stock of marketable Treasury securities reached $31.5 trillion in July 2026, up 8.6% in a year, with $18.9 trillion of gross issuance in the first seven months of 2026 alone</w:t>
      </w:r>
      <w:r>
        <w:rPr>
          <w:rStyle w:val="FootnoteReference"/>
        </w:rPr>
        <w:footnoteReference w:id="34"/>
      </w:r>
      <w:r>
        <w:t>. Foreign official demand has not kept pace, leaving more price-sensitive private buyers — households, hedge funds, mutual funds — to absorb the growing float</w:t>
      </w:r>
      <w:r>
        <w:rPr>
          <w:rStyle w:val="FootnoteReference"/>
        </w:rPr>
        <w:footnoteReference w:id="35"/>
      </w:r>
      <w:r>
        <w:t>.</w:t>
      </w:r>
    </w:p>
    <w:p w14:paraId="02DF70C1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The term premium has </w:t>
      </w:r>
      <w:proofErr w:type="gramStart"/>
      <w:r>
        <w:rPr>
          <w:b/>
          <w:bCs/>
        </w:rPr>
        <w:t>repriced</w:t>
      </w:r>
      <w:proofErr w:type="gramEnd"/>
      <w:r>
        <w:rPr>
          <w:b/>
          <w:bCs/>
        </w:rPr>
        <w:t xml:space="preserve">. </w:t>
      </w:r>
      <w:r>
        <w:t>The compensation investors demand for bearing duration risk — negative for most of 2016–2021 — has turned decisively positive: the New York Fed’s ACM estimate reached roughly 0.8–0.9 percentage point in August 2026, near a 12-year high</w:t>
      </w:r>
      <w:r>
        <w:rPr>
          <w:rStyle w:val="FootnoteReference"/>
        </w:rPr>
        <w:footnoteReference w:id="36"/>
      </w:r>
      <w:r>
        <w:t>, and the Board’s Kim–Wright model shows the same pattern</w:t>
      </w:r>
      <w:r>
        <w:rPr>
          <w:rStyle w:val="FootnoteReference"/>
        </w:rPr>
        <w:footnoteReference w:id="37"/>
      </w:r>
      <w:r>
        <w:t>. The Federal Reserve also stopped shrinking its balance sheet on December 1, 2025, ending quantitative tightening</w:t>
      </w:r>
      <w:r>
        <w:rPr>
          <w:rStyle w:val="FootnoteReference"/>
        </w:rPr>
        <w:footnoteReference w:id="38"/>
      </w:r>
      <w:r>
        <w:t xml:space="preserve"> — which removed one source of duration supply but also ended any prospect of the Fed re-absorbing it soon.</w:t>
      </w:r>
    </w:p>
    <w:p w14:paraId="50F53FC7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AI issuance adds to the pressure — measurably, but at the margin. </w:t>
      </w:r>
      <w:r>
        <w:t>The Dallas Fed expects roughly $300 billion of AI-related investment-grade issuance in 2026, equivalent to as much as $360 billion in 10-year duration equivalents — about one-eighth of expected Treasury duration supply — and notes a compositional effect: technology issuers, unlike financial issuers, generally do not swap their fixed-rate debt to floating, so tech displacing financials raises the net duration the market must hold</w:t>
      </w:r>
      <w:r>
        <w:rPr>
          <w:rStyle w:val="FootnoteReference"/>
        </w:rPr>
        <w:footnoteReference w:id="39"/>
      </w:r>
      <w:r>
        <w:t xml:space="preserve">. As one former Fed economist put it, "Duration is duration. If more corporate duration is </w:t>
      </w:r>
      <w:r>
        <w:lastRenderedPageBreak/>
        <w:t>issued, it’s going to increase the term premium for U.S. Treasuries"</w:t>
      </w:r>
      <w:r>
        <w:rPr>
          <w:rStyle w:val="FootnoteReference"/>
        </w:rPr>
        <w:footnoteReference w:id="40"/>
      </w:r>
      <w:r>
        <w:t>. Quantitatively, however, Goldman Sachs estimates AI-related issuance has added only about 5 basis points to broad borrowing costs, and non-AI corporate spreads remain historically tight — hard to square with economy-wide crowding out</w:t>
      </w:r>
      <w:r>
        <w:rPr>
          <w:rStyle w:val="FootnoteReference"/>
        </w:rPr>
        <w:footnoteReference w:id="41"/>
      </w:r>
      <w:r>
        <w:t>. A second, subtler AI channel runs through the real economy: New York Fed economists note that a large, productivity-relevant investment demand shock can raise the equilibrium real interest rate itself, keeping the whole yield curve structurally higher</w:t>
      </w:r>
      <w:r>
        <w:rPr>
          <w:rStyle w:val="FootnoteReference"/>
        </w:rPr>
        <w:footnoteReference w:id="42"/>
      </w:r>
      <w:r>
        <w:t>.</w:t>
      </w:r>
    </w:p>
    <w:p w14:paraId="6B9CA0D1" w14:textId="77777777" w:rsidR="00E2059E" w:rsidRDefault="00000000">
      <w:pPr>
        <w:spacing w:after="160" w:line="300" w:lineRule="auto"/>
      </w:pPr>
      <w:r>
        <w:t>The synthesis: AI debt is a genuine, newly arrived contributor to long-yield pressure — the direction the market commentary describes is right — but the arithmetic says fiscal supply remains several times larger. The practical implication is the same under either weighting: the forces holding the 10-year in the 4.5–5% range are structural and unlikely to dissipate within the 24-month horizon of this paper.</w:t>
      </w:r>
    </w:p>
    <w:p w14:paraId="72D25581" w14:textId="77777777" w:rsidR="00E2059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134F2DBA" wp14:editId="5F99E1EE">
            <wp:extent cx="5943600" cy="2790825"/>
            <wp:effectExtent l="0" t="0" r="0" b="0"/>
            <wp:docPr id="1886819143" name="termpremium" descr="The 10-year term premium (Kim–Wright model) has turned decisively positive." title="The 10-year term premium (Kim–Wright model) has turned decisively positiv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F24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2. The 10-year term premium (Kim–Wright model) has turned decisively positive.</w:t>
      </w:r>
    </w:p>
    <w:p w14:paraId="19E26380" w14:textId="77777777" w:rsidR="00E2059E" w:rsidRDefault="00000000">
      <w:pPr>
        <w:pStyle w:val="Heading1"/>
      </w:pPr>
      <w:r>
        <w:t>4. From the 10-Year to the 30-Year Mortgage</w:t>
      </w:r>
    </w:p>
    <w:p w14:paraId="1D0FDA8D" w14:textId="77777777" w:rsidR="00E2059E" w:rsidRDefault="00000000">
      <w:pPr>
        <w:spacing w:after="160" w:line="300" w:lineRule="auto"/>
      </w:pPr>
      <w:r>
        <w:t>The 30-year fixed mortgage is, functionally, a long-duration bond priced off the 10-year Treasury: lenders and MBS investors add a spread covering prepayment risk, credit guarantee fees, and origination costs</w:t>
      </w:r>
      <w:r>
        <w:rPr>
          <w:rStyle w:val="FootnoteReference"/>
        </w:rPr>
        <w:footnoteReference w:id="43"/>
      </w:r>
      <w:r>
        <w:t>. The Freddie Mac survey rate averaged 6.65% in the week of August 20, 2026</w:t>
      </w:r>
      <w:r>
        <w:rPr>
          <w:rStyle w:val="FootnoteReference"/>
        </w:rPr>
        <w:footnoteReference w:id="44"/>
      </w:r>
      <w:r>
        <w:t xml:space="preserve">, </w:t>
      </w:r>
      <w:r>
        <w:lastRenderedPageBreak/>
        <w:t>with the 10-year at 4.74% — a spread of about 1.96 percentage points, still roughly 0.3 point above the 1990–2019 average of 1.66</w:t>
      </w:r>
      <w:r>
        <w:rPr>
          <w:rStyle w:val="FootnoteReference"/>
        </w:rPr>
        <w:footnoteReference w:id="45"/>
      </w:r>
      <w:r>
        <w:rPr>
          <w:rStyle w:val="FootnoteReference"/>
        </w:rPr>
        <w:footnoteReference w:id="46"/>
      </w:r>
      <w:r>
        <w:t>. The spread has narrowed from its 2023 peak near 3 points, but the Fed’s retreat from MBS purchases and elevated rate volatility keep it wide</w:t>
      </w:r>
      <w:r>
        <w:rPr>
          <w:rStyle w:val="FootnoteReference"/>
        </w:rPr>
        <w:footnoteReference w:id="47"/>
      </w:r>
      <w:r>
        <w:t>. The consequence is simple arithmetic: a 10-year yield persisting near 4.7–4.8% maps to mortgage rates of roughly 6.4–6.8% even with further spread normalization — and about 7% without it.</w:t>
      </w:r>
    </w:p>
    <w:p w14:paraId="04401DC8" w14:textId="77777777" w:rsidR="00E2059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2D7D4B7E" wp14:editId="3AC5E70F">
            <wp:extent cx="5943600" cy="3152775"/>
            <wp:effectExtent l="0" t="0" r="0" b="0"/>
            <wp:docPr id="2055361057" name="rates" descr="The 10-year Treasury and the 30-year mortgage move together." title="The 10-year Treasury and the 30-year mortgage move togeth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2ADE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3. The 10-year Treasury and the 30-year mortgage move together.</w:t>
      </w:r>
    </w:p>
    <w:p w14:paraId="1C505CBE" w14:textId="77777777" w:rsidR="00E2059E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553DEC76" wp14:editId="43A545AE">
            <wp:extent cx="5943600" cy="2790825"/>
            <wp:effectExtent l="0" t="0" r="0" b="0"/>
            <wp:docPr id="141939521" name="spread" descr="The mortgage–Treasury spread remains wider than its long-run norm." title="The mortgage–Treasury spread remains wider than its long-run nor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2B38C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4. The mortgage–Treasury spread remains wider than its long-run norm.</w:t>
      </w:r>
    </w:p>
    <w:p w14:paraId="4CAEE97C" w14:textId="77777777" w:rsidR="00E2059E" w:rsidRDefault="00000000">
      <w:pPr>
        <w:pStyle w:val="Heading1"/>
      </w:pPr>
      <w:r>
        <w:t>5. Housing Turnover: Current State and the 24-Month Outlook</w:t>
      </w:r>
    </w:p>
    <w:p w14:paraId="6D401BE7" w14:textId="77777777" w:rsidR="00E2059E" w:rsidRDefault="00000000">
      <w:pPr>
        <w:spacing w:after="160" w:line="300" w:lineRule="auto"/>
      </w:pPr>
      <w:proofErr w:type="gramStart"/>
      <w:r>
        <w:t>Existing-home</w:t>
      </w:r>
      <w:proofErr w:type="gramEnd"/>
      <w:r>
        <w:t xml:space="preserve"> sales ran at a 4.06 million seasonally adjusted annual rate in July 2026, down 1.7% from June and essentially unchanged from a year earlier, at a median price of $434,100</w:t>
      </w:r>
      <w:r>
        <w:rPr>
          <w:rStyle w:val="FootnoteReference"/>
        </w:rPr>
        <w:footnoteReference w:id="48"/>
      </w:r>
      <w:r>
        <w:t>. Annual sales have now printed near 4.06–4.09 million for three consecutive years — the weakest stretch since 1995 — after 6.12 million in 2021</w:t>
      </w:r>
      <w:r>
        <w:rPr>
          <w:rStyle w:val="FootnoteReference"/>
        </w:rPr>
        <w:footnoteReference w:id="49"/>
      </w:r>
      <w:r>
        <w:t>. New construction has softened in tandem: total starts fell 12.4% in July 2026 to a 1.239 million annual rate</w:t>
      </w:r>
      <w:r>
        <w:rPr>
          <w:rStyle w:val="FootnoteReference"/>
        </w:rPr>
        <w:footnoteReference w:id="50"/>
      </w:r>
      <w:r>
        <w:t>, and new single-family home sales ran near 628,000 in June</w:t>
      </w:r>
      <w:r>
        <w:rPr>
          <w:rStyle w:val="FootnoteReference"/>
        </w:rPr>
        <w:footnoteReference w:id="51"/>
      </w:r>
      <w:r>
        <w:t>.</w:t>
      </w:r>
    </w:p>
    <w:p w14:paraId="4F7B4F4C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Why turnover is stuck: the lock-in effect. </w:t>
      </w:r>
      <w:r>
        <w:t xml:space="preserve">The FHFA’s canonical study quantifies the mechanism: for every percentage point that a borrower’s existing mortgage rate sits below the prevailing market rate, the probability of </w:t>
      </w:r>
      <w:proofErr w:type="gramStart"/>
      <w:r>
        <w:t>sale</w:t>
      </w:r>
      <w:proofErr w:type="gramEnd"/>
      <w:r>
        <w:t xml:space="preserve"> falls 18.1%. The authors </w:t>
      </w:r>
      <w:proofErr w:type="gramStart"/>
      <w:r>
        <w:t>attribute</w:t>
      </w:r>
      <w:proofErr w:type="gramEnd"/>
      <w:r>
        <w:t xml:space="preserve"> more than 1.3 million lost home sales to lock-in between 2022 and 2024</w:t>
      </w:r>
      <w:r>
        <w:rPr>
          <w:rStyle w:val="FootnoteReference"/>
        </w:rPr>
        <w:footnoteReference w:id="52"/>
      </w:r>
      <w:r>
        <w:t xml:space="preserve">. With the market rate near 6.65% and the outstanding mortgage stock still dominated by loans </w:t>
      </w:r>
      <w:proofErr w:type="gramStart"/>
      <w:r>
        <w:t>originated</w:t>
      </w:r>
      <w:proofErr w:type="gramEnd"/>
      <w:r>
        <w:t xml:space="preserve"> at 4% or below, the wedge remains wide. Harvard’s Joint Center adds a slower-moving headwind: household formation has decelerated from about 2 million a </w:t>
      </w:r>
      <w:r>
        <w:lastRenderedPageBreak/>
        <w:t>year in 2021 to roughly 1.1 million in 2025, with demographic projections near 700,000 a year over the next decade</w:t>
      </w:r>
      <w:r>
        <w:rPr>
          <w:rStyle w:val="FootnoteReference"/>
        </w:rPr>
        <w:footnoteReference w:id="53"/>
      </w:r>
      <w:r>
        <w:t>.</w:t>
      </w:r>
    </w:p>
    <w:p w14:paraId="489E037B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What forecasters expect. </w:t>
      </w:r>
      <w:r>
        <w:t>The table below assembles the August-2026-vintage outlooks of the three most-cited housing forecasters. Note the direction of travel: Fannie Mae’s August forecast cut its 2027 recovery estimate (from 4.40 to 4.27 million) while raising its mortgage-rate path to 6.7%</w:t>
      </w:r>
      <w:r>
        <w:rPr>
          <w:rStyle w:val="FootnoteReference"/>
        </w:rPr>
        <w:footnoteReference w:id="54"/>
      </w:r>
      <w:r>
        <w:t>; the MBA similarly raised its end-2026 rate forecast to 6.7% and now holds the 10-year at 4.7% through 2027</w:t>
      </w:r>
      <w:r>
        <w:rPr>
          <w:rStyle w:val="FootnoteReference"/>
        </w:rPr>
        <w:footnoteReference w:id="55"/>
      </w:r>
      <w:r>
        <w:t>; and NAR has already cut its 2026 growth forecast from +14% (made November 2025) to +4%</w:t>
      </w:r>
      <w:r>
        <w:rPr>
          <w:rStyle w:val="FootnoteReference"/>
        </w:rPr>
        <w:footnoteReference w:id="56"/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1650"/>
        <w:gridCol w:w="1650"/>
        <w:gridCol w:w="1650"/>
        <w:gridCol w:w="1710"/>
      </w:tblGrid>
      <w:tr w:rsidR="00E2059E" w14:paraId="4BB44314" w14:textId="77777777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F85C99" w14:textId="77777777" w:rsidR="00E2059E" w:rsidRDefault="00000000">
            <w:r>
              <w:rPr>
                <w:b/>
                <w:bCs/>
                <w:sz w:val="19"/>
                <w:szCs w:val="19"/>
              </w:rPr>
              <w:t>Forecaster (vintage)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54E66" w14:textId="77777777" w:rsidR="00E2059E" w:rsidRDefault="00000000">
            <w:r>
              <w:rPr>
                <w:b/>
                <w:bCs/>
                <w:sz w:val="19"/>
                <w:szCs w:val="19"/>
              </w:rPr>
              <w:t>2026 EHS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D596C" w14:textId="77777777" w:rsidR="00E2059E" w:rsidRDefault="00000000">
            <w:r>
              <w:rPr>
                <w:b/>
                <w:bCs/>
                <w:sz w:val="19"/>
                <w:szCs w:val="19"/>
              </w:rPr>
              <w:t>2027 EHS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C712F" w14:textId="77777777" w:rsidR="00E2059E" w:rsidRDefault="00000000">
            <w:r>
              <w:rPr>
                <w:b/>
                <w:bCs/>
                <w:sz w:val="19"/>
                <w:szCs w:val="19"/>
              </w:rPr>
              <w:t>2028 EHS</w:t>
            </w:r>
          </w:p>
        </w:tc>
        <w:tc>
          <w:tcPr>
            <w:tcW w:w="17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E6AC" w14:textId="77777777" w:rsidR="00E2059E" w:rsidRDefault="00000000">
            <w:r>
              <w:rPr>
                <w:b/>
                <w:bCs/>
                <w:sz w:val="19"/>
                <w:szCs w:val="19"/>
              </w:rPr>
              <w:t>30-yr rate path</w:t>
            </w:r>
          </w:p>
        </w:tc>
      </w:tr>
      <w:tr w:rsidR="00E2059E" w14:paraId="58A1E922" w14:textId="77777777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7E3400" w14:textId="77777777" w:rsidR="00E2059E" w:rsidRDefault="00000000">
            <w:r>
              <w:rPr>
                <w:sz w:val="19"/>
                <w:szCs w:val="19"/>
              </w:rPr>
              <w:t>Fannie Mae (Aug 2026)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DC6C1" w14:textId="77777777" w:rsidR="00E2059E" w:rsidRDefault="00000000">
            <w:r>
              <w:rPr>
                <w:sz w:val="19"/>
                <w:szCs w:val="19"/>
              </w:rPr>
              <w:t>4.11M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DEC363" w14:textId="77777777" w:rsidR="00E2059E" w:rsidRDefault="00000000">
            <w:r>
              <w:rPr>
                <w:sz w:val="19"/>
                <w:szCs w:val="19"/>
              </w:rPr>
              <w:t>4.27M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A8EAC" w14:textId="77777777" w:rsidR="00E2059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7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4030EE" w14:textId="77777777" w:rsidR="00E2059E" w:rsidRDefault="00000000">
            <w:r>
              <w:rPr>
                <w:sz w:val="19"/>
                <w:szCs w:val="19"/>
              </w:rPr>
              <w:t>6.5% end-26; 6.7% 2027</w:t>
            </w:r>
          </w:p>
        </w:tc>
      </w:tr>
      <w:tr w:rsidR="00E2059E" w14:paraId="0F0F9CC1" w14:textId="77777777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9B2EA" w14:textId="77777777" w:rsidR="00E2059E" w:rsidRDefault="00000000">
            <w:r>
              <w:rPr>
                <w:sz w:val="19"/>
                <w:szCs w:val="19"/>
              </w:rPr>
              <w:t>MBA (Jun 2026; Aug rev.)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194A0" w14:textId="77777777" w:rsidR="00E2059E" w:rsidRDefault="00000000">
            <w:r>
              <w:rPr>
                <w:sz w:val="19"/>
                <w:szCs w:val="19"/>
              </w:rPr>
              <w:t>4.21M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F7AE5" w14:textId="77777777" w:rsidR="00E2059E" w:rsidRDefault="00000000">
            <w:r>
              <w:rPr>
                <w:sz w:val="19"/>
                <w:szCs w:val="19"/>
              </w:rPr>
              <w:t>4.48M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A6295" w14:textId="77777777" w:rsidR="00E2059E" w:rsidRDefault="00000000">
            <w:r>
              <w:rPr>
                <w:sz w:val="19"/>
                <w:szCs w:val="19"/>
              </w:rPr>
              <w:t>4.63M</w:t>
            </w:r>
          </w:p>
        </w:tc>
        <w:tc>
          <w:tcPr>
            <w:tcW w:w="17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4BB3B" w14:textId="77777777" w:rsidR="00E2059E" w:rsidRDefault="00000000">
            <w:r>
              <w:rPr>
                <w:sz w:val="19"/>
                <w:szCs w:val="19"/>
              </w:rPr>
              <w:t>6.5–6.7% end-26; 10Y 4.7%</w:t>
            </w:r>
          </w:p>
        </w:tc>
      </w:tr>
      <w:tr w:rsidR="00E2059E" w14:paraId="4A2147D2" w14:textId="77777777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FD552E" w14:textId="77777777" w:rsidR="00E2059E" w:rsidRDefault="00000000">
            <w:r>
              <w:rPr>
                <w:sz w:val="19"/>
                <w:szCs w:val="19"/>
              </w:rPr>
              <w:t>NAR (Jun 2026)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B9A0F9" w14:textId="77777777" w:rsidR="00E2059E" w:rsidRDefault="00000000">
            <w:r>
              <w:rPr>
                <w:sz w:val="19"/>
                <w:szCs w:val="19"/>
              </w:rPr>
              <w:t>~4.22M (+4%)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15371" w14:textId="77777777" w:rsidR="00E2059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CAC781" w14:textId="77777777" w:rsidR="00E2059E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17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47535" w14:textId="77777777" w:rsidR="00E2059E" w:rsidRDefault="00000000">
            <w:r>
              <w:rPr>
                <w:sz w:val="19"/>
                <w:szCs w:val="19"/>
              </w:rPr>
              <w:t>~6.5% average</w:t>
            </w:r>
          </w:p>
        </w:tc>
      </w:tr>
      <w:tr w:rsidR="00E2059E" w14:paraId="37C02DC9" w14:textId="77777777">
        <w:tc>
          <w:tcPr>
            <w:tcW w:w="2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D2DC2" w14:textId="77777777" w:rsidR="00E2059E" w:rsidRDefault="00000000">
            <w:r>
              <w:rPr>
                <w:sz w:val="19"/>
                <w:szCs w:val="19"/>
              </w:rPr>
              <w:t>This paper (central)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616FF3" w14:textId="77777777" w:rsidR="00E2059E" w:rsidRDefault="00000000">
            <w:r>
              <w:rPr>
                <w:sz w:val="19"/>
                <w:szCs w:val="19"/>
              </w:rPr>
              <w:t>4.05–4.15M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09C82" w14:textId="77777777" w:rsidR="00E2059E" w:rsidRDefault="00000000">
            <w:r>
              <w:rPr>
                <w:sz w:val="19"/>
                <w:szCs w:val="19"/>
              </w:rPr>
              <w:t>4.15–4.35M</w:t>
            </w:r>
          </w:p>
        </w:tc>
        <w:tc>
          <w:tcPr>
            <w:tcW w:w="16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12242" w14:textId="77777777" w:rsidR="00E2059E" w:rsidRDefault="00000000">
            <w:r>
              <w:rPr>
                <w:sz w:val="19"/>
                <w:szCs w:val="19"/>
              </w:rPr>
              <w:t>4.3–4.5M</w:t>
            </w:r>
          </w:p>
        </w:tc>
        <w:tc>
          <w:tcPr>
            <w:tcW w:w="171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9C218F" w14:textId="77777777" w:rsidR="00E2059E" w:rsidRDefault="00000000">
            <w:r>
              <w:rPr>
                <w:sz w:val="19"/>
                <w:szCs w:val="19"/>
              </w:rPr>
              <w:t>6.4–6.9%</w:t>
            </w:r>
          </w:p>
        </w:tc>
      </w:tr>
    </w:tbl>
    <w:p w14:paraId="62A952C2" w14:textId="77777777" w:rsidR="00E2059E" w:rsidRDefault="00E2059E">
      <w:pPr>
        <w:spacing w:after="60"/>
      </w:pPr>
    </w:p>
    <w:p w14:paraId="14D8B50B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Our 24-month prediction (August 2026 – August 2028). </w:t>
      </w:r>
      <w:r>
        <w:t>Given (a) a 10-year yield held in the 4.5–5% range by fiscal supply, with AI issuance adding pressure at the margin; (b) a mortgage-Treasury spread normalizing only slowly; and (c) the lock-in wedge decaying gradually as loans season and life events force moves, we expect existing-home sales to remain in a 4.0–4.2 million band through mid-2027, then improve modestly to roughly 4.2–4.5 million by August 2028 — a cumulative recovery of perhaps 5–10% from today’s pace, leaving turnover still about 25–30% below the 2021 level. The consensus forecasts above imply the same shape; note that they have been revised toward this view repeatedly, not away from it</w:t>
      </w:r>
      <w:r>
        <w:rPr>
          <w:rStyle w:val="FootnoteReference"/>
        </w:rPr>
        <w:footnoteReference w:id="57"/>
      </w:r>
      <w:r>
        <w:rPr>
          <w:rStyle w:val="FootnoteReference"/>
        </w:rPr>
        <w:footnoteReference w:id="58"/>
      </w:r>
      <w:r>
        <w:t>. Housing starts likely hold a 1.2–1.4 million range with single-family softness</w:t>
      </w:r>
      <w:r>
        <w:rPr>
          <w:rStyle w:val="FootnoteReference"/>
        </w:rPr>
        <w:footnoteReference w:id="59"/>
      </w:r>
      <w:r>
        <w:t xml:space="preserve">. The main upside risk is a faster-than-expected decline in long yields (a growth scare or rapid disinflation); the main downside risk is </w:t>
      </w:r>
      <w:proofErr w:type="gramStart"/>
      <w:r>
        <w:t>a renewed</w:t>
      </w:r>
      <w:proofErr w:type="gramEnd"/>
      <w:r>
        <w:t xml:space="preserve"> inflation or fiscal shock pushing the 10-year above 5%.</w:t>
      </w:r>
    </w:p>
    <w:p w14:paraId="58A6354C" w14:textId="77777777" w:rsidR="00E2059E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66F03BF" wp14:editId="5BEF8090">
            <wp:extent cx="5943600" cy="3028950"/>
            <wp:effectExtent l="0" t="0" r="0" b="0"/>
            <wp:docPr id="101691371" name="ehs" descr="Existing-home sales have run near 4 million for four straight years." title="Existing-home sales have run near 4 million for four straight ye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7754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5. Existing-home sales have run near 4 million for four straight years.</w:t>
      </w:r>
    </w:p>
    <w:p w14:paraId="6589BFBC" w14:textId="77777777" w:rsidR="00E2059E" w:rsidRDefault="00000000">
      <w:pPr>
        <w:spacing w:before="160" w:after="40"/>
        <w:jc w:val="center"/>
      </w:pPr>
      <w:r>
        <w:rPr>
          <w:noProof/>
        </w:rPr>
        <w:drawing>
          <wp:inline distT="0" distB="0" distL="0" distR="0" wp14:anchorId="0E240DC6" wp14:editId="18312944">
            <wp:extent cx="5943600" cy="3028950"/>
            <wp:effectExtent l="0" t="0" r="0" b="0"/>
            <wp:docPr id="1174618308" name="starts" descr="New construction has drifted down from its 2022 peak." title="New construction has drifted down from its 2022 peak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D70A0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6. New construction has drifted down from its 2022 peak.</w:t>
      </w:r>
    </w:p>
    <w:p w14:paraId="7D26A873" w14:textId="77777777" w:rsidR="00E2059E" w:rsidRDefault="00000000">
      <w:pPr>
        <w:pStyle w:val="Heading1"/>
      </w:pPr>
      <w:r>
        <w:t>6. How Housing Turnover Drives Furniture Demand</w:t>
      </w:r>
    </w:p>
    <w:p w14:paraId="4F194D92" w14:textId="77777777" w:rsidR="00E2059E" w:rsidRDefault="00000000">
      <w:pPr>
        <w:spacing w:after="160" w:line="300" w:lineRule="auto"/>
      </w:pPr>
      <w:r>
        <w:t xml:space="preserve">Furniture is the most housing-levered category in retail. The New York Times put it plainly this spring: "America’s furniture stores have been ravaged over the past three years as high mortgage </w:t>
      </w:r>
      <w:r>
        <w:lastRenderedPageBreak/>
        <w:t>rates and home prices have frozen the housing market"</w:t>
      </w:r>
      <w:r>
        <w:rPr>
          <w:rStyle w:val="FootnoteReference"/>
        </w:rPr>
        <w:footnoteReference w:id="60"/>
      </w:r>
      <w:r>
        <w:t xml:space="preserve">. The </w:t>
      </w:r>
      <w:proofErr w:type="gramStart"/>
      <w:r>
        <w:t>evidence base</w:t>
      </w:r>
      <w:proofErr w:type="gramEnd"/>
      <w:r>
        <w:t xml:space="preserve"> behind that statement is unusually strong:</w:t>
      </w:r>
    </w:p>
    <w:p w14:paraId="18C1B561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Move-triggered spending multiples. </w:t>
      </w:r>
      <w:r>
        <w:t>NAHB’s analysis of Consumer Expenditure Survey microdata (2020–2023) finds buyers of newly built homes spend $8,254 on furnishings in the first year after purchase, existing-home buyers $3,894, and non-moving owners $1,192 — multiples of roughly 7x and 3.3x</w:t>
      </w:r>
      <w:r>
        <w:rPr>
          <w:rStyle w:val="FootnoteReference"/>
        </w:rPr>
        <w:footnoteReference w:id="61"/>
      </w:r>
      <w:r>
        <w:t>.</w:t>
      </w:r>
    </w:p>
    <w:p w14:paraId="5A580DD3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Causal evidence. </w:t>
      </w:r>
      <w:r>
        <w:t>A 2025 Federal Reserve Board working paper estimates a home purchase raises furnishings spending by $1,757 from a $1,553 baseline — a more-than-doubling — and finds the correlation between new home sales and home-related expenditure is 0.69. Critically, home purchases account for 40–75% of the total variability in spending across housing booms and busts</w:t>
      </w:r>
      <w:r>
        <w:rPr>
          <w:rStyle w:val="FootnoteReference"/>
        </w:rPr>
        <w:footnoteReference w:id="62"/>
      </w:r>
      <w:r>
        <w:t>.</w:t>
      </w:r>
    </w:p>
    <w:p w14:paraId="7F172B58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t xml:space="preserve">The </w:t>
      </w:r>
      <w:proofErr w:type="gramStart"/>
      <w:r>
        <w:rPr>
          <w:b/>
          <w:bCs/>
        </w:rPr>
        <w:t>often-quoted</w:t>
      </w:r>
      <w:proofErr w:type="gramEnd"/>
      <w:r>
        <w:rPr>
          <w:b/>
          <w:bCs/>
        </w:rPr>
        <w:t xml:space="preserve"> "~25%" share. </w:t>
      </w:r>
      <w:r>
        <w:t>No U.S. statistical agency publishes that exact figure. The closest official measurement is Statistics Canada’s: households that bought a home within the prior four years accounted for 22% of total furniture spending</w:t>
      </w:r>
      <w:r>
        <w:rPr>
          <w:rStyle w:val="FootnoteReference"/>
        </w:rPr>
        <w:footnoteReference w:id="63"/>
      </w:r>
      <w:r>
        <w:t>. A parallel U.S. calculation — applying NAHB per-buyer spending to roughly 4.7 million annual transactions against $294 billion of total furniture consumption</w:t>
      </w:r>
      <w:r>
        <w:rPr>
          <w:rStyle w:val="FootnoteReference"/>
        </w:rPr>
        <w:footnoteReference w:id="64"/>
      </w:r>
      <w:r>
        <w:t xml:space="preserve"> — puts same-year buyers near 7–8% of the level, rising plausibly to 20–25% when buyers from the prior three to four years (whose spending stays elevated) are included. The "25%" shorthand is therefore defensible as a mover-linked share, with the important nuance that non-movers dominate the level of demand while movers dominate its cycle</w:t>
      </w:r>
      <w:r>
        <w:rPr>
          <w:rStyle w:val="FootnoteReference"/>
        </w:rPr>
        <w:footnoteReference w:id="65"/>
      </w:r>
      <w:r>
        <w:rPr>
          <w:rStyle w:val="FootnoteReference"/>
        </w:rPr>
        <w:footnoteReference w:id="66"/>
      </w:r>
      <w:r>
        <w:t>.</w:t>
      </w:r>
    </w:p>
    <w:p w14:paraId="36E6CB0D" w14:textId="77777777" w:rsidR="00E2059E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b/>
          <w:bCs/>
        </w:rPr>
        <w:lastRenderedPageBreak/>
        <w:t xml:space="preserve">The historical stress test. </w:t>
      </w:r>
      <w:r>
        <w:t xml:space="preserve">In the 2005–2009 bust, existing-home sales fell about </w:t>
      </w:r>
      <w:proofErr w:type="gramStart"/>
      <w:r>
        <w:t>40%</w:t>
      </w:r>
      <w:proofErr w:type="gramEnd"/>
      <w:r>
        <w:t xml:space="preserve"> and furniture-store sales fell 25.2% peak to trough — an arc elasticity of roughly 0.6</w:t>
      </w:r>
      <w:r>
        <w:rPr>
          <w:rStyle w:val="FootnoteReference"/>
        </w:rPr>
        <w:footnoteReference w:id="67"/>
      </w:r>
      <w:r>
        <w:rPr>
          <w:rStyle w:val="FootnoteReference"/>
        </w:rPr>
        <w:footnoteReference w:id="68"/>
      </w:r>
      <w:r>
        <w:t>. Pre-pandemic, industry sales maintained an 80% correlation with existing-home sales</w:t>
      </w:r>
      <w:r>
        <w:rPr>
          <w:rStyle w:val="FootnoteReference"/>
        </w:rPr>
        <w:footnoteReference w:id="69"/>
      </w:r>
      <w:r>
        <w:t>.</w:t>
      </w:r>
    </w:p>
    <w:p w14:paraId="4F0883C5" w14:textId="77777777" w:rsidR="00E2059E" w:rsidRDefault="00000000">
      <w:pPr>
        <w:spacing w:after="160" w:line="300" w:lineRule="auto"/>
      </w:pPr>
      <w:r>
        <w:t xml:space="preserve">Today’s data </w:t>
      </w:r>
      <w:proofErr w:type="gramStart"/>
      <w:r>
        <w:t>are</w:t>
      </w:r>
      <w:proofErr w:type="gramEnd"/>
      <w:r>
        <w:t xml:space="preserve"> consistent with a market held down by frozen turnover. Furniture and home-furnishings store sales (NAICS 442) totaled $135.6 billion in 2025, still below the 2022 nominal peak of $140.5 billion, and are running 1.7% below last year through July 2026</w:t>
      </w:r>
      <w:r>
        <w:rPr>
          <w:rStyle w:val="FootnoteReference"/>
        </w:rPr>
        <w:footnoteReference w:id="70"/>
      </w:r>
      <w:r>
        <w:rPr>
          <w:rStyle w:val="FootnoteReference"/>
        </w:rPr>
        <w:footnoteReference w:id="71"/>
      </w:r>
      <w:r>
        <w:t>. Overlaid on weak volumes is a tariff-driven price shock: Section 232 duties of 25% on upholstered wooden furniture took effect October 14, 2025</w:t>
      </w:r>
      <w:r>
        <w:rPr>
          <w:rStyle w:val="FootnoteReference"/>
        </w:rPr>
        <w:footnoteReference w:id="72"/>
      </w:r>
      <w:r>
        <w:t>, with the scheduled increase to 30% delayed to January 1, 2027</w:t>
      </w:r>
      <w:r>
        <w:rPr>
          <w:rStyle w:val="FootnoteReference"/>
        </w:rPr>
        <w:footnoteReference w:id="73"/>
      </w:r>
      <w:r>
        <w:t>. Furniture-and-bedding CPI accelerated to +4.2% year over year in February 2026 before decelerating to +0.5% by July</w:t>
      </w:r>
      <w:r>
        <w:rPr>
          <w:rStyle w:val="FootnoteReference"/>
        </w:rPr>
        <w:footnoteReference w:id="74"/>
      </w:r>
      <w:r>
        <w:t xml:space="preserve"> — meaning even flat nominal sales conceal falling unit volumes. Zelman &amp; Associates estimates the price elasticity of furniture demand at about −0.42 in high-price-increase </w:t>
      </w:r>
      <w:proofErr w:type="gramStart"/>
      <w:r>
        <w:t>years, and</w:t>
      </w:r>
      <w:proofErr w:type="gramEnd"/>
      <w:r>
        <w:t xml:space="preserve"> notes existing-home sales growth on the order of 5–6% would be needed to offset the tariff drag</w:t>
      </w:r>
      <w:r>
        <w:rPr>
          <w:rStyle w:val="FootnoteReference"/>
        </w:rPr>
        <w:footnoteReference w:id="75"/>
      </w:r>
      <w:r>
        <w:t>. Industry order books tell the same story of a market moving sideways: new orders were up just 2% year to date through May 2026, with shipments flat</w:t>
      </w:r>
      <w:r>
        <w:rPr>
          <w:rStyle w:val="FootnoteReference"/>
        </w:rPr>
        <w:footnoteReference w:id="76"/>
      </w:r>
      <w:r>
        <w:t>, and Harvard’s remodeling indicator points to spending growth of just 0.5% by mid-2027, "until home sales rebound from current low levels"</w:t>
      </w:r>
      <w:r>
        <w:rPr>
          <w:rStyle w:val="FootnoteReference"/>
        </w:rPr>
        <w:footnoteReference w:id="77"/>
      </w:r>
      <w:r>
        <w:t>.</w:t>
      </w:r>
    </w:p>
    <w:p w14:paraId="14B3F270" w14:textId="77777777" w:rsidR="00E2059E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3108E25B" wp14:editId="3CE08FEE">
            <wp:extent cx="5943600" cy="3028950"/>
            <wp:effectExtent l="0" t="0" r="0" b="0"/>
            <wp:docPr id="1601692081" name="furniture" descr="Furniture-store sales remain below their 2022 run rate in nominal dollars." title="Furniture-store sales remain below their 2022 run rate in nominal dollar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6C4E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7. Furniture-store sales remain below their 2022 run rate in nominal dollars.</w:t>
      </w:r>
    </w:p>
    <w:p w14:paraId="7F0FE052" w14:textId="77777777" w:rsidR="00E2059E" w:rsidRDefault="00000000">
      <w:pPr>
        <w:pStyle w:val="Heading1"/>
      </w:pPr>
      <w:r>
        <w:t>7. Scenario Model: U.S. Furniture-Store Sales, 2026–2028</w:t>
      </w:r>
    </w:p>
    <w:p w14:paraId="1F1DB0E3" w14:textId="77777777" w:rsidR="00E2059E" w:rsidRDefault="00000000">
      <w:pPr>
        <w:spacing w:after="160" w:line="300" w:lineRule="auto"/>
      </w:pPr>
      <w:r>
        <w:t xml:space="preserve">To quantify the stakes, we model annual furniture and home-furnishings store sales (Census NAICS 442) as a function of </w:t>
      </w:r>
      <w:proofErr w:type="gramStart"/>
      <w:r>
        <w:t>existing-home-sales</w:t>
      </w:r>
      <w:proofErr w:type="gramEnd"/>
      <w:r>
        <w:t xml:space="preserve"> growth:</w:t>
      </w:r>
    </w:p>
    <w:p w14:paraId="5117BB1F" w14:textId="77777777" w:rsidR="00E2059E" w:rsidRDefault="00000000">
      <w:pPr>
        <w:spacing w:after="160" w:line="300" w:lineRule="auto"/>
        <w:jc w:val="center"/>
      </w:pPr>
      <w:r>
        <w:rPr>
          <w:i/>
          <w:iCs/>
        </w:rPr>
        <w:t>Furniture sales growth = 0.7% baseline drift + 0.55 × existing-home-sales growth</w:t>
      </w:r>
    </w:p>
    <w:p w14:paraId="1672791E" w14:textId="77777777" w:rsidR="00E2059E" w:rsidRDefault="00000000">
      <w:pPr>
        <w:spacing w:after="160" w:line="300" w:lineRule="auto"/>
      </w:pPr>
      <w:r>
        <w:t>The 0.55 coefficient is the midpoint of the historical evidence: the 2005–2009 arc elasticity of about 0.6</w:t>
      </w:r>
      <w:r>
        <w:rPr>
          <w:rStyle w:val="FootnoteReference"/>
        </w:rPr>
        <w:footnoteReference w:id="78"/>
      </w:r>
      <w:r>
        <w:rPr>
          <w:rStyle w:val="FootnoteReference"/>
        </w:rPr>
        <w:footnoteReference w:id="79"/>
      </w:r>
      <w:r>
        <w:t>, the Federal Reserve’s finding that home purchases drive 40–75% of home-related spending variability</w:t>
      </w:r>
      <w:r>
        <w:rPr>
          <w:rStyle w:val="FootnoteReference"/>
        </w:rPr>
        <w:footnoteReference w:id="80"/>
      </w:r>
      <w:r>
        <w:t>, and Zelman’s asymmetric estimates around that range</w:t>
      </w:r>
      <w:r>
        <w:rPr>
          <w:rStyle w:val="FootnoteReference"/>
        </w:rPr>
        <w:footnoteReference w:id="81"/>
      </w:r>
      <w:r>
        <w:t>. The 0.7% drift captures non-mover replacement demand and net price effects. 2026 is anchored to actual year-to-date data (−1.7% through July, with modest second-half stabilization)</w:t>
      </w:r>
      <w:r>
        <w:rPr>
          <w:rStyle w:val="FootnoteReference"/>
        </w:rPr>
        <w:footnoteReference w:id="82"/>
      </w:r>
      <w:r>
        <w:t xml:space="preserve">. Housing paths: the base case blends the Fannie Mae, MBA, and NAR forecasts above; the downside holds mortgage rates at 6.7–7% </w:t>
      </w:r>
      <w:r>
        <w:lastRenderedPageBreak/>
        <w:t>(existing-home sales roughly flat); the upside assumes rates decline toward 6%, the threshold NAR’s chief economist identifies as unlocking meaningful turnover</w:t>
      </w:r>
      <w:r>
        <w:rPr>
          <w:rStyle w:val="FootnoteReference"/>
        </w:rPr>
        <w:footnoteReference w:id="83"/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3350"/>
        <w:gridCol w:w="1180"/>
        <w:gridCol w:w="1180"/>
        <w:gridCol w:w="1200"/>
      </w:tblGrid>
      <w:tr w:rsidR="00E2059E" w14:paraId="5D27A961" w14:textId="77777777">
        <w:tc>
          <w:tcPr>
            <w:tcW w:w="24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D3A1B" w14:textId="77777777" w:rsidR="00E2059E" w:rsidRDefault="00000000">
            <w:r>
              <w:rPr>
                <w:b/>
                <w:bCs/>
                <w:sz w:val="19"/>
                <w:szCs w:val="19"/>
              </w:rPr>
              <w:t>Scenario</w:t>
            </w:r>
          </w:p>
        </w:tc>
        <w:tc>
          <w:tcPr>
            <w:tcW w:w="33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AFF37" w14:textId="77777777" w:rsidR="00E2059E" w:rsidRDefault="00000000">
            <w:r>
              <w:rPr>
                <w:b/>
                <w:bCs/>
                <w:sz w:val="19"/>
                <w:szCs w:val="19"/>
              </w:rPr>
              <w:t>Housing assumption (EHS growth)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ADBFEB" w14:textId="77777777" w:rsidR="00E2059E" w:rsidRDefault="00000000">
            <w:r>
              <w:rPr>
                <w:b/>
                <w:bCs/>
                <w:sz w:val="19"/>
                <w:szCs w:val="19"/>
              </w:rPr>
              <w:t>2026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8533F" w14:textId="77777777" w:rsidR="00E2059E" w:rsidRDefault="00000000">
            <w:r>
              <w:rPr>
                <w:b/>
                <w:bCs/>
                <w:sz w:val="19"/>
                <w:szCs w:val="19"/>
              </w:rPr>
              <w:t>2027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E7EEE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8E4632" w14:textId="77777777" w:rsidR="00E2059E" w:rsidRDefault="00000000">
            <w:r>
              <w:rPr>
                <w:b/>
                <w:bCs/>
                <w:sz w:val="19"/>
                <w:szCs w:val="19"/>
              </w:rPr>
              <w:t>2028</w:t>
            </w:r>
          </w:p>
        </w:tc>
      </w:tr>
      <w:tr w:rsidR="00E2059E" w14:paraId="17247358" w14:textId="77777777">
        <w:tc>
          <w:tcPr>
            <w:tcW w:w="24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99D770" w14:textId="77777777" w:rsidR="00E2059E" w:rsidRDefault="00000000">
            <w:r>
              <w:rPr>
                <w:sz w:val="19"/>
                <w:szCs w:val="19"/>
              </w:rPr>
              <w:t>Base</w:t>
            </w:r>
          </w:p>
        </w:tc>
        <w:tc>
          <w:tcPr>
            <w:tcW w:w="33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ABE6E" w14:textId="77777777" w:rsidR="00E2059E" w:rsidRDefault="00000000">
            <w:r>
              <w:rPr>
                <w:sz w:val="19"/>
                <w:szCs w:val="19"/>
              </w:rPr>
              <w:t>+2% ’26, +5.5% ’27, +4% ’28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98342B" w14:textId="77777777" w:rsidR="00E2059E" w:rsidRDefault="00000000">
            <w:r>
              <w:rPr>
                <w:sz w:val="19"/>
                <w:szCs w:val="19"/>
              </w:rPr>
              <w:t>$134B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5FD8F" w14:textId="77777777" w:rsidR="00E2059E" w:rsidRDefault="00000000">
            <w:r>
              <w:rPr>
                <w:sz w:val="19"/>
                <w:szCs w:val="19"/>
              </w:rPr>
              <w:t>$139B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D29AC" w14:textId="77777777" w:rsidR="00E2059E" w:rsidRDefault="00000000">
            <w:r>
              <w:rPr>
                <w:sz w:val="19"/>
                <w:szCs w:val="19"/>
              </w:rPr>
              <w:t>$143B</w:t>
            </w:r>
          </w:p>
        </w:tc>
      </w:tr>
      <w:tr w:rsidR="00E2059E" w14:paraId="22AEBF7D" w14:textId="77777777">
        <w:tc>
          <w:tcPr>
            <w:tcW w:w="24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9B1DC" w14:textId="77777777" w:rsidR="00E2059E" w:rsidRDefault="00000000">
            <w:r>
              <w:rPr>
                <w:sz w:val="19"/>
                <w:szCs w:val="19"/>
              </w:rPr>
              <w:t>Downside (rates 6.7–7%)</w:t>
            </w:r>
          </w:p>
        </w:tc>
        <w:tc>
          <w:tcPr>
            <w:tcW w:w="33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93C49" w14:textId="77777777" w:rsidR="00E2059E" w:rsidRDefault="00000000">
            <w:r>
              <w:rPr>
                <w:sz w:val="19"/>
                <w:szCs w:val="19"/>
              </w:rPr>
              <w:t>0% ’26, +1% ’27, +1.5% ’28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A7DA3" w14:textId="77777777" w:rsidR="00E2059E" w:rsidRDefault="00000000">
            <w:r>
              <w:rPr>
                <w:sz w:val="19"/>
                <w:szCs w:val="19"/>
              </w:rPr>
              <w:t>$134B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283C6" w14:textId="77777777" w:rsidR="00E2059E" w:rsidRDefault="00000000">
            <w:r>
              <w:rPr>
                <w:sz w:val="19"/>
                <w:szCs w:val="19"/>
              </w:rPr>
              <w:t>$135B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60731" w14:textId="77777777" w:rsidR="00E2059E" w:rsidRDefault="00000000">
            <w:r>
              <w:rPr>
                <w:sz w:val="19"/>
                <w:szCs w:val="19"/>
              </w:rPr>
              <w:t>$137B</w:t>
            </w:r>
          </w:p>
        </w:tc>
      </w:tr>
      <w:tr w:rsidR="00E2059E" w14:paraId="7E713A21" w14:textId="77777777">
        <w:tc>
          <w:tcPr>
            <w:tcW w:w="24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F4EC56" w14:textId="77777777" w:rsidR="00E2059E" w:rsidRDefault="00000000">
            <w:r>
              <w:rPr>
                <w:sz w:val="19"/>
                <w:szCs w:val="19"/>
              </w:rPr>
              <w:t>Upside (rates toward 6%)</w:t>
            </w:r>
          </w:p>
        </w:tc>
        <w:tc>
          <w:tcPr>
            <w:tcW w:w="335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B757C" w14:textId="77777777" w:rsidR="00E2059E" w:rsidRDefault="00000000">
            <w:r>
              <w:rPr>
                <w:sz w:val="19"/>
                <w:szCs w:val="19"/>
              </w:rPr>
              <w:t>+3% ’26, +8% ’27, +7% ’28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6F282" w14:textId="77777777" w:rsidR="00E2059E" w:rsidRDefault="00000000">
            <w:r>
              <w:rPr>
                <w:sz w:val="19"/>
                <w:szCs w:val="19"/>
              </w:rPr>
              <w:t>$135B</w:t>
            </w:r>
          </w:p>
        </w:tc>
        <w:tc>
          <w:tcPr>
            <w:tcW w:w="118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42449D" w14:textId="77777777" w:rsidR="00E2059E" w:rsidRDefault="00000000">
            <w:r>
              <w:rPr>
                <w:sz w:val="19"/>
                <w:szCs w:val="19"/>
              </w:rPr>
              <w:t>$142B</w:t>
            </w:r>
          </w:p>
        </w:tc>
        <w:tc>
          <w:tcPr>
            <w:tcW w:w="1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EF747" w14:textId="77777777" w:rsidR="00E2059E" w:rsidRDefault="00000000">
            <w:r>
              <w:rPr>
                <w:sz w:val="19"/>
                <w:szCs w:val="19"/>
              </w:rPr>
              <w:t>$148B</w:t>
            </w:r>
          </w:p>
        </w:tc>
      </w:tr>
    </w:tbl>
    <w:p w14:paraId="58CFF966" w14:textId="77777777" w:rsidR="00E2059E" w:rsidRDefault="00E2059E">
      <w:pPr>
        <w:spacing w:after="60"/>
      </w:pPr>
    </w:p>
    <w:p w14:paraId="3D9FB02C" w14:textId="77777777" w:rsidR="00E2059E" w:rsidRDefault="00000000">
      <w:pPr>
        <w:spacing w:after="160" w:line="300" w:lineRule="auto"/>
      </w:pPr>
      <w:r>
        <w:t>Three readings of the table. First, the range is wide: by 2028 the gap between the downside and upside paths is about $11 billion a year of retail volume — and the swing variable is the mortgage rate, which is to say the 10-year Treasury. Second, even the base case only returns the industry to its 2022 nominal peak by 2028; adjusted for cumulative furniture inflation, unit volumes would remain well below 2021–2022 levels in every scenario. Third, the downside is not a tail case: it simply extends the current rate environment, which the MBA’s August revision (10-year at 4.7% through 2027) treats as its central path</w:t>
      </w:r>
      <w:r>
        <w:rPr>
          <w:rStyle w:val="FootnoteReference"/>
        </w:rPr>
        <w:footnoteReference w:id="84"/>
      </w:r>
      <w:r>
        <w:t>. A complementary way to size the stakes: the roughly 2 million annual existing-home sales "missing" versus the 2021 pace represent about $8 billion a year of forgone first-year furnishings spending at NAHB’s $3,894 per existing-home buyer</w:t>
      </w:r>
      <w:r>
        <w:rPr>
          <w:rStyle w:val="FootnoteReference"/>
        </w:rPr>
        <w:footnoteReference w:id="85"/>
      </w:r>
      <w:r>
        <w:t xml:space="preserve"> — before any multiplier from remodeling and non-mover upgrades.</w:t>
      </w:r>
    </w:p>
    <w:p w14:paraId="323653F6" w14:textId="77777777" w:rsidR="00E2059E" w:rsidRDefault="00000000">
      <w:pPr>
        <w:spacing w:after="160" w:line="300" w:lineRule="auto"/>
      </w:pPr>
      <w:r>
        <w:rPr>
          <w:b/>
          <w:bCs/>
        </w:rPr>
        <w:t xml:space="preserve">Model caveats. </w:t>
      </w:r>
      <w:r>
        <w:t>Figures are nominal; the January 2027 tariff step-up to 30% would mechanically lift prices (supporting nominal sales) while suppressing units</w:t>
      </w:r>
      <w:r>
        <w:rPr>
          <w:rStyle w:val="FootnoteReference"/>
        </w:rPr>
        <w:footnoteReference w:id="86"/>
      </w:r>
      <w:r>
        <w:rPr>
          <w:rStyle w:val="FootnoteReference"/>
        </w:rPr>
        <w:footnoteReference w:id="87"/>
      </w:r>
      <w:r>
        <w:t xml:space="preserve">. The elasticity is estimated </w:t>
      </w:r>
      <w:proofErr w:type="gramStart"/>
      <w:r>
        <w:t>over</w:t>
      </w:r>
      <w:proofErr w:type="gramEnd"/>
      <w:r>
        <w:t xml:space="preserve"> large cyclical swings and applies less precisely to small annual changes. Some trade observers argue demand is partially decoupling from moves toward "stay-put" room-by-room upgrades, which would soften the linkage in both directions. And the model excludes non-store (e-commerce-only) furniture channels.</w:t>
      </w:r>
    </w:p>
    <w:p w14:paraId="693FE53F" w14:textId="77777777" w:rsidR="00E2059E" w:rsidRDefault="00000000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DFE7342" wp14:editId="75985DA0">
            <wp:extent cx="5943600" cy="3429000"/>
            <wp:effectExtent l="0" t="0" r="0" b="0"/>
            <wp:docPr id="1058668640" name="scenarios" descr="Furniture-store sales scenarios, 2026–2028, under three housing-turnover paths." title="Furniture-store sales scenarios, 2026–2028, under three housing-turnover path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9CC5" w14:textId="77777777" w:rsidR="00E2059E" w:rsidRDefault="00000000">
      <w:pPr>
        <w:spacing w:after="220"/>
        <w:jc w:val="center"/>
      </w:pPr>
      <w:r>
        <w:rPr>
          <w:i/>
          <w:iCs/>
          <w:color w:val="7A7974"/>
          <w:sz w:val="18"/>
          <w:szCs w:val="18"/>
        </w:rPr>
        <w:t>Figure 8. Furniture-store sales scenarios, 2026–2028, under three housing-turnover paths.</w:t>
      </w:r>
    </w:p>
    <w:p w14:paraId="706D0735" w14:textId="77777777" w:rsidR="00E2059E" w:rsidRDefault="00000000">
      <w:pPr>
        <w:pStyle w:val="Heading1"/>
      </w:pPr>
      <w:r>
        <w:t>8. Conclusions</w:t>
      </w:r>
    </w:p>
    <w:p w14:paraId="21BA6DB3" w14:textId="59FF8FBC" w:rsidR="00E2059E" w:rsidRDefault="00000000">
      <w:pPr>
        <w:spacing w:after="160" w:line="300" w:lineRule="auto"/>
      </w:pPr>
      <w:r>
        <w:t>Weighing each link in the chain against the evidence: the AI-debt-to-Treasury link is real but modest — measured in single-digit to low-double-digit basis points, not the primary force. The fiscal-supply-to-Treasury link is strong and worsening on CBO’s arithmetic</w:t>
      </w:r>
      <w:r>
        <w:rPr>
          <w:rStyle w:val="FootnoteReference"/>
        </w:rPr>
        <w:footnoteReference w:id="88"/>
      </w:r>
      <w:r>
        <w:t>. The Treasury-to-mortgage link is mechanical and tight</w:t>
      </w:r>
      <w:r>
        <w:rPr>
          <w:rStyle w:val="FootnoteReference"/>
        </w:rPr>
        <w:footnoteReference w:id="89"/>
      </w:r>
      <w:r>
        <w:t>. The mortgage-to-turnover link is among the best-documented relationships in housing economics</w:t>
      </w:r>
      <w:r>
        <w:rPr>
          <w:rStyle w:val="FootnoteReference"/>
        </w:rPr>
        <w:footnoteReference w:id="90"/>
      </w:r>
      <w:r>
        <w:t>. And the turnover-to-furniture link is causal, quantified, and large in cyclical terms</w:t>
      </w:r>
      <w:r>
        <w:rPr>
          <w:rStyle w:val="FootnoteReference"/>
        </w:rPr>
        <w:footnoteReference w:id="91"/>
      </w:r>
      <w:r>
        <w:t xml:space="preserve">. The composite conclusion is that the furniture industry’s recovery timetable is being set, at the margin, in the bond market: as long as structural forces — deficits first, AI duration supply second — hold the 10-year Treasury near or above 4.5%, mortgage rates will hold near or above 6.5%, housing turnover will stay in the low-4-million range, and furniture retail will remain a flat-to-modest-growth business in nominal terms and a shrinking one in real terms. The scenario model above translates that thesis into numbers a retailer can plan </w:t>
      </w:r>
      <w:proofErr w:type="gramStart"/>
      <w:r>
        <w:t>against:</w:t>
      </w:r>
      <w:proofErr w:type="gramEnd"/>
      <w:r>
        <w:t xml:space="preserve"> a 2028 outcome between roughly $137 billion and $148 billion, with the base case at $143 billion — and the difference determined almost entirely by whether long-term rates persist or relent.</w:t>
      </w:r>
    </w:p>
    <w:sectPr w:rsidR="00E2059E">
      <w:headerReference w:type="default" r:id="rId15"/>
      <w:footerReference w:type="default" r:id="rId16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F1067" w14:textId="77777777" w:rsidR="002C0B5D" w:rsidRDefault="002C0B5D">
      <w:r>
        <w:separator/>
      </w:r>
    </w:p>
  </w:endnote>
  <w:endnote w:type="continuationSeparator" w:id="0">
    <w:p w14:paraId="17001C8E" w14:textId="77777777" w:rsidR="002C0B5D" w:rsidRDefault="002C0B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2BB95" w14:textId="77777777" w:rsidR="00E2059E" w:rsidRDefault="00000000">
    <w:pPr>
      <w:jc w:val="center"/>
    </w:pPr>
    <w:r>
      <w:rPr>
        <w:color w:val="7A7974"/>
        <w:sz w:val="16"/>
        <w:szCs w:val="16"/>
      </w:rPr>
      <w:t xml:space="preserve">Page </w:t>
    </w:r>
    <w:r>
      <w:rPr>
        <w:color w:val="7A7974"/>
        <w:sz w:val="16"/>
        <w:szCs w:val="16"/>
      </w:rPr>
      <w:fldChar w:fldCharType="begin"/>
    </w:r>
    <w:r>
      <w:rPr>
        <w:color w:val="7A7974"/>
        <w:sz w:val="16"/>
        <w:szCs w:val="16"/>
      </w:rPr>
      <w:instrText>PAGE</w:instrText>
    </w:r>
    <w:r>
      <w:rPr>
        <w:color w:val="7A7974"/>
        <w:sz w:val="16"/>
        <w:szCs w:val="16"/>
      </w:rPr>
      <w:fldChar w:fldCharType="separate"/>
    </w:r>
    <w:r w:rsidR="006048DE">
      <w:rPr>
        <w:noProof/>
        <w:color w:val="7A7974"/>
        <w:sz w:val="16"/>
        <w:szCs w:val="16"/>
      </w:rPr>
      <w:t>1</w:t>
    </w:r>
    <w:r>
      <w:rPr>
        <w:color w:val="7A7974"/>
        <w:sz w:val="16"/>
        <w:szCs w:val="16"/>
      </w:rPr>
      <w:fldChar w:fldCharType="end"/>
    </w:r>
    <w:r>
      <w:rPr>
        <w:color w:val="7A7974"/>
        <w:sz w:val="16"/>
        <w:szCs w:val="16"/>
      </w:rPr>
      <w:t xml:space="preserve"> of </w:t>
    </w:r>
    <w:r>
      <w:rPr>
        <w:color w:val="7A7974"/>
        <w:sz w:val="16"/>
        <w:szCs w:val="16"/>
      </w:rPr>
      <w:fldChar w:fldCharType="begin"/>
    </w:r>
    <w:r>
      <w:rPr>
        <w:color w:val="7A7974"/>
        <w:sz w:val="16"/>
        <w:szCs w:val="16"/>
      </w:rPr>
      <w:instrText>NUMPAGES</w:instrText>
    </w:r>
    <w:r>
      <w:rPr>
        <w:color w:val="7A7974"/>
        <w:sz w:val="16"/>
        <w:szCs w:val="16"/>
      </w:rPr>
      <w:fldChar w:fldCharType="separate"/>
    </w:r>
    <w:r w:rsidR="006048DE">
      <w:rPr>
        <w:noProof/>
        <w:color w:val="7A7974"/>
        <w:sz w:val="16"/>
        <w:szCs w:val="16"/>
      </w:rPr>
      <w:t>2</w:t>
    </w:r>
    <w:r>
      <w:rPr>
        <w:color w:val="7A797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EF13" w14:textId="77777777" w:rsidR="002C0B5D" w:rsidRDefault="002C0B5D">
      <w:r>
        <w:separator/>
      </w:r>
    </w:p>
  </w:footnote>
  <w:footnote w:type="continuationSeparator" w:id="0">
    <w:p w14:paraId="5B3880BD" w14:textId="77777777" w:rsidR="002C0B5D" w:rsidRDefault="002C0B5D">
      <w:r>
        <w:continuationSeparator/>
      </w:r>
    </w:p>
  </w:footnote>
  <w:footnote w:id="1">
    <w:p w14:paraId="58BFCBE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CNBC, report on big-four </w:t>
      </w:r>
      <w:proofErr w:type="spellStart"/>
      <w:r>
        <w:rPr>
          <w:sz w:val="18"/>
          <w:szCs w:val="18"/>
        </w:rPr>
        <w:t>hyperscaler</w:t>
      </w:r>
      <w:proofErr w:type="spellEnd"/>
      <w:r>
        <w:rPr>
          <w:sz w:val="18"/>
          <w:szCs w:val="18"/>
        </w:rPr>
        <w:t xml:space="preserve"> 2026 capital spending and free cash flow, February 6, 2026. </w:t>
      </w:r>
      <w:hyperlink r:id="rId1" w:history="1">
        <w:r w:rsidR="00E2059E">
          <w:rPr>
            <w:rStyle w:val="Hyperlink"/>
            <w:sz w:val="18"/>
            <w:szCs w:val="18"/>
          </w:rPr>
          <w:t>https://www.cnbc.com/2026/02/06/google-microsoft-meta-amazon-ai-cash.html</w:t>
        </w:r>
      </w:hyperlink>
    </w:p>
  </w:footnote>
  <w:footnote w:id="2">
    <w:p w14:paraId="50FE50F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>Los Angeles Times, "Data centers will need $3 trillion through 2030,</w:t>
      </w:r>
      <w:proofErr w:type="gramStart"/>
      <w:r>
        <w:rPr>
          <w:sz w:val="18"/>
          <w:szCs w:val="18"/>
        </w:rPr>
        <w:t xml:space="preserve"> Moody’s</w:t>
      </w:r>
      <w:proofErr w:type="gramEnd"/>
      <w:r>
        <w:rPr>
          <w:sz w:val="18"/>
          <w:szCs w:val="18"/>
        </w:rPr>
        <w:t xml:space="preserve"> says," January 12, 2026. </w:t>
      </w:r>
      <w:hyperlink r:id="rId2" w:history="1">
        <w:r w:rsidR="00E2059E">
          <w:rPr>
            <w:rStyle w:val="Hyperlink"/>
            <w:sz w:val="18"/>
            <w:szCs w:val="18"/>
          </w:rPr>
          <w:t>https://www.latimes.com/business/story/2026-01-12/data-centers-will-need-3-trillion-through-2030-moodys-says</w:t>
        </w:r>
      </w:hyperlink>
    </w:p>
  </w:footnote>
  <w:footnote w:id="3">
    <w:p w14:paraId="477594E2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Reuters, "US corporate AI debt surge tests investor limits as fatigue emerges," August 21, 2026. </w:t>
      </w:r>
      <w:hyperlink r:id="rId3" w:history="1">
        <w:r w:rsidR="00E2059E">
          <w:rPr>
            <w:rStyle w:val="Hyperlink"/>
            <w:sz w:val="18"/>
            <w:szCs w:val="18"/>
          </w:rPr>
          <w:t>https://www.reuters.com/legal/transactional/us-corporate-ai-debt-surge-tests-investor-limits-fatigue-emerges-2026-08-21/</w:t>
        </w:r>
      </w:hyperlink>
    </w:p>
  </w:footnote>
  <w:footnote w:id="4">
    <w:p w14:paraId="04DD8AEE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IFR (International Financing Review), "Amazon makes market history with largest corporate bond sale ever," March 14, 2026. </w:t>
      </w:r>
      <w:hyperlink r:id="rId4" w:history="1">
        <w:r w:rsidR="00E2059E">
          <w:rPr>
            <w:rStyle w:val="Hyperlink"/>
            <w:sz w:val="18"/>
            <w:szCs w:val="18"/>
          </w:rPr>
          <w:t>https://www.ifre.com/bonds/2397565/amazon-makes-market-history-with-largest-corporate-bond-sale-ever</w:t>
        </w:r>
      </w:hyperlink>
    </w:p>
  </w:footnote>
  <w:footnote w:id="5">
    <w:p w14:paraId="4227845C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Bank of Dallas, "How AI debt financing impacts duration supply and interest rates" (De Vere, Ramaswamy and Searls), February 10, 2026. </w:t>
      </w:r>
      <w:hyperlink r:id="rId5" w:history="1">
        <w:r w:rsidR="00E2059E">
          <w:rPr>
            <w:rStyle w:val="Hyperlink"/>
            <w:sz w:val="18"/>
            <w:szCs w:val="18"/>
          </w:rPr>
          <w:t>https://www.dallasfed.org/research/economics/2026/0210-searls-aifinancing</w:t>
        </w:r>
      </w:hyperlink>
    </w:p>
  </w:footnote>
  <w:footnote w:id="6">
    <w:p w14:paraId="010D843C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Board, H.15 Selected Interest Rates, 10-year Treasury constant maturity, via FRED series DGS10, data through August 21, 2026. </w:t>
      </w:r>
      <w:hyperlink r:id="rId6" w:history="1">
        <w:r w:rsidR="00E2059E">
          <w:rPr>
            <w:rStyle w:val="Hyperlink"/>
            <w:sz w:val="18"/>
            <w:szCs w:val="18"/>
          </w:rPr>
          <w:t>https://fred.stlouisfed.org/series/DGS10</w:t>
        </w:r>
      </w:hyperlink>
    </w:p>
  </w:footnote>
  <w:footnote w:id="7">
    <w:p w14:paraId="7E9697D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Congressional Budget Office, "The Budget and Economic Outlook: 2026 to 2036," February 11, 2026. </w:t>
      </w:r>
      <w:hyperlink r:id="rId7" w:history="1">
        <w:r w:rsidR="00E2059E">
          <w:rPr>
            <w:rStyle w:val="Hyperlink"/>
            <w:sz w:val="18"/>
            <w:szCs w:val="18"/>
          </w:rPr>
          <w:t>https://www.cbo.gov/publication/61882</w:t>
        </w:r>
      </w:hyperlink>
    </w:p>
  </w:footnote>
  <w:footnote w:id="8">
    <w:p w14:paraId="724CB740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Freddie Mac, Primary Mortgage Market Survey, via FRED series MORTGAGE30US, data through August 20, 2026. </w:t>
      </w:r>
      <w:hyperlink r:id="rId8" w:history="1">
        <w:r w:rsidR="00E2059E">
          <w:rPr>
            <w:rStyle w:val="Hyperlink"/>
            <w:sz w:val="18"/>
            <w:szCs w:val="18"/>
          </w:rPr>
          <w:t>https://fred.stlouisfed.org/series/MORTGAGE30US</w:t>
        </w:r>
      </w:hyperlink>
    </w:p>
  </w:footnote>
  <w:footnote w:id="9">
    <w:p w14:paraId="041F0006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Housing Finance Agency, Working Paper 24-03, "The Lock-In Effect of Rising Mortgage Rates" (Fonseca, Liu and </w:t>
      </w:r>
      <w:proofErr w:type="spellStart"/>
      <w:r>
        <w:rPr>
          <w:sz w:val="18"/>
          <w:szCs w:val="18"/>
        </w:rPr>
        <w:t>Mabille</w:t>
      </w:r>
      <w:proofErr w:type="spellEnd"/>
      <w:r>
        <w:rPr>
          <w:sz w:val="18"/>
          <w:szCs w:val="18"/>
        </w:rPr>
        <w:t xml:space="preserve">), March 2024. </w:t>
      </w:r>
      <w:hyperlink r:id="rId9" w:history="1">
        <w:r w:rsidR="00E2059E">
          <w:rPr>
            <w:rStyle w:val="Hyperlink"/>
            <w:sz w:val="18"/>
            <w:szCs w:val="18"/>
          </w:rPr>
          <w:t>https://www.fhfa.gov/research/papers/wp2403</w:t>
        </w:r>
      </w:hyperlink>
    </w:p>
  </w:footnote>
  <w:footnote w:id="10">
    <w:p w14:paraId="34509DB4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National Association of Realtors, "Existing-Home Sales Report Shows 1.7% Decrease in July," August 11, 2026. </w:t>
      </w:r>
      <w:hyperlink r:id="rId10" w:history="1">
        <w:r w:rsidR="00E2059E">
          <w:rPr>
            <w:rStyle w:val="Hyperlink"/>
            <w:sz w:val="18"/>
            <w:szCs w:val="18"/>
          </w:rPr>
          <w:t>https://www.nar.realtor/newsroom/nar-existing-home-sales-report-shows-1-7-decrease-in-july</w:t>
        </w:r>
      </w:hyperlink>
    </w:p>
  </w:footnote>
  <w:footnote w:id="11">
    <w:p w14:paraId="13BECCB9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Favara, Graham and Li, "Of House and Home-Related Goods: The Home Purchase Channel of Expenditure," Federal Reserve Board, FEDS Working Paper 2025-045, June 2025. </w:t>
      </w:r>
      <w:hyperlink r:id="rId11" w:history="1">
        <w:r w:rsidR="00E2059E">
          <w:rPr>
            <w:rStyle w:val="Hyperlink"/>
            <w:sz w:val="18"/>
            <w:szCs w:val="18"/>
          </w:rPr>
          <w:t>https://www.federalreserve.gov/econres/feds/files/2025045pap.pdf</w:t>
        </w:r>
      </w:hyperlink>
    </w:p>
  </w:footnote>
  <w:footnote w:id="12">
    <w:p w14:paraId="19C08FE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NAHB Eye on Housing, "What Do Home Buyers Purchase After They Move In," analysis of BLS Consumer Expenditure Survey 2020–2023 microdata, July 22, 2026. </w:t>
      </w:r>
      <w:hyperlink r:id="rId12" w:history="1">
        <w:r w:rsidR="00E2059E">
          <w:rPr>
            <w:rStyle w:val="Hyperlink"/>
            <w:sz w:val="18"/>
            <w:szCs w:val="18"/>
          </w:rPr>
          <w:t>https://eyeonhousing.org/2026/07/what-do-home-buyers-purchase-after-they-move-in/</w:t>
        </w:r>
      </w:hyperlink>
    </w:p>
  </w:footnote>
  <w:footnote w:id="13">
    <w:p w14:paraId="0B5C66D6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Bank of Dallas, "How AI debt financing impacts duration supply and interest rates" (De Vere, Ramaswamy and Searls), February 10, 2026. </w:t>
      </w:r>
      <w:hyperlink r:id="rId13" w:history="1">
        <w:r w:rsidR="00E2059E">
          <w:rPr>
            <w:rStyle w:val="Hyperlink"/>
            <w:sz w:val="18"/>
            <w:szCs w:val="18"/>
          </w:rPr>
          <w:t>https://www.dallasfed.org/research/economics/2026/0210-searls-aifinancing</w:t>
        </w:r>
      </w:hyperlink>
    </w:p>
  </w:footnote>
  <w:footnote w:id="14">
    <w:p w14:paraId="72E1C6C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CNBC, Amazon second-quarter 2026 earnings report, July 30, 2026. </w:t>
      </w:r>
      <w:hyperlink r:id="rId14" w:history="1">
        <w:r w:rsidR="00E2059E">
          <w:rPr>
            <w:rStyle w:val="Hyperlink"/>
            <w:sz w:val="18"/>
            <w:szCs w:val="18"/>
          </w:rPr>
          <w:t>https://www.cnbc.com/amp/2026/07/30/amazon-amzn-q2-earnings-report-2026.html</w:t>
        </w:r>
      </w:hyperlink>
    </w:p>
  </w:footnote>
  <w:footnote w:id="15">
    <w:p w14:paraId="5A93B27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Yahoo Finance, report on Microsoft plans for approximately $190 billion of 2026 capital spending, July 27, 2026. </w:t>
      </w:r>
      <w:hyperlink r:id="rId15" w:history="1">
        <w:r w:rsidR="00E2059E">
          <w:rPr>
            <w:rStyle w:val="Hyperlink"/>
            <w:sz w:val="18"/>
            <w:szCs w:val="18"/>
          </w:rPr>
          <w:t>https://finance.yahoo.com/markets/stocks/articles/microsoft-plans-190-billion-capital-214300784.html</w:t>
        </w:r>
      </w:hyperlink>
    </w:p>
  </w:footnote>
  <w:footnote w:id="16">
    <w:p w14:paraId="6F3311F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Yahoo Finance, report on Alphabet raising 2026 capital-spending guidance to $195–205 billion, July 30, 2026. </w:t>
      </w:r>
      <w:hyperlink r:id="rId16" w:history="1">
        <w:r w:rsidR="00E2059E">
          <w:rPr>
            <w:rStyle w:val="Hyperlink"/>
            <w:sz w:val="18"/>
            <w:szCs w:val="18"/>
          </w:rPr>
          <w:t>https://finance.yahoo.com/markets/stocks/articles/alphabet-spend-much-205-billion-083200018.html</w:t>
        </w:r>
      </w:hyperlink>
    </w:p>
  </w:footnote>
  <w:footnote w:id="17">
    <w:p w14:paraId="15461A0A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Yahoo Finance / Reuters, "Meta narrows annual capex forecast," July 29, 2026. </w:t>
      </w:r>
      <w:hyperlink r:id="rId17" w:history="1">
        <w:r w:rsidR="00E2059E">
          <w:rPr>
            <w:rStyle w:val="Hyperlink"/>
            <w:sz w:val="18"/>
            <w:szCs w:val="18"/>
          </w:rPr>
          <w:t>https://finance.yahoo.com/technology/ai/articles/meta-narrows-annual-capex-forecast-200500213.html</w:t>
        </w:r>
      </w:hyperlink>
    </w:p>
  </w:footnote>
  <w:footnote w:id="18">
    <w:p w14:paraId="3D61A050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CNBC, report on big-four </w:t>
      </w:r>
      <w:proofErr w:type="spellStart"/>
      <w:r>
        <w:rPr>
          <w:sz w:val="18"/>
          <w:szCs w:val="18"/>
        </w:rPr>
        <w:t>hyperscaler</w:t>
      </w:r>
      <w:proofErr w:type="spellEnd"/>
      <w:r>
        <w:rPr>
          <w:sz w:val="18"/>
          <w:szCs w:val="18"/>
        </w:rPr>
        <w:t xml:space="preserve"> 2026 capital spending and free cash flow, February 6, 2026. </w:t>
      </w:r>
      <w:hyperlink r:id="rId18" w:history="1">
        <w:r w:rsidR="00E2059E">
          <w:rPr>
            <w:rStyle w:val="Hyperlink"/>
            <w:sz w:val="18"/>
            <w:szCs w:val="18"/>
          </w:rPr>
          <w:t>https://www.cnbc.com/2026/02/06/google-microsoft-meta-amazon-ai-cash.html</w:t>
        </w:r>
      </w:hyperlink>
    </w:p>
  </w:footnote>
  <w:footnote w:id="19">
    <w:p w14:paraId="654FFD1E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>Los Angeles Times, "Data centers will need $3 trillion through 2030,</w:t>
      </w:r>
      <w:proofErr w:type="gramStart"/>
      <w:r>
        <w:rPr>
          <w:sz w:val="18"/>
          <w:szCs w:val="18"/>
        </w:rPr>
        <w:t xml:space="preserve"> Moody’s</w:t>
      </w:r>
      <w:proofErr w:type="gramEnd"/>
      <w:r>
        <w:rPr>
          <w:sz w:val="18"/>
          <w:szCs w:val="18"/>
        </w:rPr>
        <w:t xml:space="preserve"> says," January 12, 2026. </w:t>
      </w:r>
      <w:hyperlink r:id="rId19" w:history="1">
        <w:r w:rsidR="00E2059E">
          <w:rPr>
            <w:rStyle w:val="Hyperlink"/>
            <w:sz w:val="18"/>
            <w:szCs w:val="18"/>
          </w:rPr>
          <w:t>https://www.latimes.com/business/story/2026-01-12/data-centers-will-need-3-trillion-through-2030-moodys-says</w:t>
        </w:r>
      </w:hyperlink>
    </w:p>
  </w:footnote>
  <w:footnote w:id="20">
    <w:p w14:paraId="48AE62D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McKinsey &amp; Company, "The cost of </w:t>
      </w:r>
      <w:proofErr w:type="gramStart"/>
      <w:r>
        <w:rPr>
          <w:sz w:val="18"/>
          <w:szCs w:val="18"/>
        </w:rPr>
        <w:t>compute</w:t>
      </w:r>
      <w:proofErr w:type="gramEnd"/>
      <w:r>
        <w:rPr>
          <w:sz w:val="18"/>
          <w:szCs w:val="18"/>
        </w:rPr>
        <w:t xml:space="preserve">: A $7 trillion race to scale data centers," April 28, 2025. </w:t>
      </w:r>
      <w:hyperlink r:id="rId20" w:history="1">
        <w:r w:rsidR="00E2059E">
          <w:rPr>
            <w:rStyle w:val="Hyperlink"/>
            <w:sz w:val="18"/>
            <w:szCs w:val="18"/>
          </w:rPr>
          <w:t>https://www.mckinsey.com/industries/technology-media-and-telecommunications/our-insights/the-cost-of-compute-a-7-trillion-dollar-race-to-scale-data-centers</w:t>
        </w:r>
      </w:hyperlink>
    </w:p>
  </w:footnote>
  <w:footnote w:id="21">
    <w:p w14:paraId="6513482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Bank for International Settlements, Quarterly Review, "Financing the AI infrastructure boom: on- and off-balance sheet borrowing" (Eren, Krohn and Todorov), March 16, 2026. </w:t>
      </w:r>
      <w:hyperlink r:id="rId21" w:history="1">
        <w:r w:rsidR="00E2059E">
          <w:rPr>
            <w:rStyle w:val="Hyperlink"/>
            <w:sz w:val="18"/>
            <w:szCs w:val="18"/>
          </w:rPr>
          <w:t>https://www.bis.org/publ/qtrpdf/r_qt2603u.htm</w:t>
        </w:r>
      </w:hyperlink>
    </w:p>
  </w:footnote>
  <w:footnote w:id="22">
    <w:p w14:paraId="2FC486F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Bloomberg, "Meta sets bond sale at $30 billion, biggest offering of the year," October 30, 2025. </w:t>
      </w:r>
      <w:hyperlink r:id="rId22" w:history="1">
        <w:r w:rsidR="00E2059E">
          <w:rPr>
            <w:rStyle w:val="Hyperlink"/>
            <w:sz w:val="18"/>
            <w:szCs w:val="18"/>
          </w:rPr>
          <w:t>https://www.bloomberg.com/news/articles/2025-10-30/meta-sets-bond-sale-at-30-billion-biggest-offering-of-the-year</w:t>
        </w:r>
      </w:hyperlink>
    </w:p>
  </w:footnote>
  <w:footnote w:id="23">
    <w:p w14:paraId="2179A5E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Reuters, report on Oracle’s $18 billion six-tranche investment-grade bond sale, September 24, 2025. </w:t>
      </w:r>
      <w:hyperlink r:id="rId23" w:history="1">
        <w:r w:rsidR="00E2059E">
          <w:rPr>
            <w:rStyle w:val="Hyperlink"/>
            <w:sz w:val="18"/>
            <w:szCs w:val="18"/>
          </w:rPr>
          <w:t>https://www.reuters.com/business/oracle-looks-raise-15-billion-bond-sales-bloomberg-news-reports-2025-09-24/</w:t>
        </w:r>
      </w:hyperlink>
    </w:p>
  </w:footnote>
  <w:footnote w:id="24">
    <w:p w14:paraId="52DEDE18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CNBC, report on big-four </w:t>
      </w:r>
      <w:proofErr w:type="spellStart"/>
      <w:r>
        <w:rPr>
          <w:sz w:val="18"/>
          <w:szCs w:val="18"/>
        </w:rPr>
        <w:t>hyperscaler</w:t>
      </w:r>
      <w:proofErr w:type="spellEnd"/>
      <w:r>
        <w:rPr>
          <w:sz w:val="18"/>
          <w:szCs w:val="18"/>
        </w:rPr>
        <w:t xml:space="preserve"> 2026 capital spending and free cash flow, February 6, 2026. </w:t>
      </w:r>
      <w:hyperlink r:id="rId24" w:history="1">
        <w:r w:rsidR="00E2059E">
          <w:rPr>
            <w:rStyle w:val="Hyperlink"/>
            <w:sz w:val="18"/>
            <w:szCs w:val="18"/>
          </w:rPr>
          <w:t>https://www.cnbc.com/2026/02/06/google-microsoft-meta-amazon-ai-cash.html</w:t>
        </w:r>
      </w:hyperlink>
    </w:p>
  </w:footnote>
  <w:footnote w:id="25">
    <w:p w14:paraId="4AFB21A0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IFR (International Financing Review), "Amazon makes market history with largest corporate bond sale ever," March 14, 2026. </w:t>
      </w:r>
      <w:hyperlink r:id="rId25" w:history="1">
        <w:r w:rsidR="00E2059E">
          <w:rPr>
            <w:rStyle w:val="Hyperlink"/>
            <w:sz w:val="18"/>
            <w:szCs w:val="18"/>
          </w:rPr>
          <w:t>https://www.ifre.com/bonds/2397565/amazon-makes-market-history-with-largest-corporate-bond-sale-ever</w:t>
        </w:r>
      </w:hyperlink>
    </w:p>
  </w:footnote>
  <w:footnote w:id="26">
    <w:p w14:paraId="1F45C7FA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Reuters, "US corporate AI debt surge tests investor limits as fatigue emerges," August 21, 2026. </w:t>
      </w:r>
      <w:hyperlink r:id="rId26" w:history="1">
        <w:r w:rsidR="00E2059E">
          <w:rPr>
            <w:rStyle w:val="Hyperlink"/>
            <w:sz w:val="18"/>
            <w:szCs w:val="18"/>
          </w:rPr>
          <w:t>https://www.reuters.com/legal/transactional/us-corporate-ai-debt-surge-tests-investor-limits-fatigue-emerges-2026-08-21/</w:t>
        </w:r>
      </w:hyperlink>
    </w:p>
  </w:footnote>
  <w:footnote w:id="27">
    <w:p w14:paraId="531574EC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Fortune (via Yahoo Finance), report on Moody’s analysis of $662 billion in not-yet-commenced </w:t>
      </w:r>
      <w:proofErr w:type="spellStart"/>
      <w:r>
        <w:rPr>
          <w:sz w:val="18"/>
          <w:szCs w:val="18"/>
        </w:rPr>
        <w:t>hyperscaler</w:t>
      </w:r>
      <w:proofErr w:type="spellEnd"/>
      <w:r>
        <w:rPr>
          <w:sz w:val="18"/>
          <w:szCs w:val="18"/>
        </w:rPr>
        <w:t xml:space="preserve"> lease commitments held off balance sheet, February 25, 2026. </w:t>
      </w:r>
      <w:hyperlink r:id="rId27" w:history="1">
        <w:r w:rsidR="00E2059E">
          <w:rPr>
            <w:rStyle w:val="Hyperlink"/>
            <w:sz w:val="18"/>
            <w:szCs w:val="18"/>
          </w:rPr>
          <w:t>https://finance.yahoo.com/news/moody-flags-662-billion-risk-081000616.html</w:t>
        </w:r>
      </w:hyperlink>
    </w:p>
  </w:footnote>
  <w:footnote w:id="28">
    <w:p w14:paraId="793356E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Bank for International Settlements, Quarterly Review, "Financing the AI infrastructure boom: on- and off-balance sheet borrowing" (Eren, Krohn and Todorov), March 16, 2026. </w:t>
      </w:r>
      <w:hyperlink r:id="rId28" w:history="1">
        <w:r w:rsidR="00E2059E">
          <w:rPr>
            <w:rStyle w:val="Hyperlink"/>
            <w:sz w:val="18"/>
            <w:szCs w:val="18"/>
          </w:rPr>
          <w:t>https://www.bis.org/publ/qtrpdf/r_qt2603u.htm</w:t>
        </w:r>
      </w:hyperlink>
    </w:p>
  </w:footnote>
  <w:footnote w:id="29">
    <w:p w14:paraId="419AB018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>Bank for International Settlements, BIS Bulletin No. 120, "Financing the AI boom: from cash flows to debt" (</w:t>
      </w:r>
      <w:proofErr w:type="spellStart"/>
      <w:r>
        <w:rPr>
          <w:sz w:val="18"/>
          <w:szCs w:val="18"/>
        </w:rPr>
        <w:t>Aldasoro</w:t>
      </w:r>
      <w:proofErr w:type="spellEnd"/>
      <w:r>
        <w:rPr>
          <w:sz w:val="18"/>
          <w:szCs w:val="18"/>
        </w:rPr>
        <w:t xml:space="preserve">, Doerr and Rees), January 7, 2026. </w:t>
      </w:r>
      <w:hyperlink r:id="rId29" w:history="1">
        <w:r w:rsidR="00E2059E">
          <w:rPr>
            <w:rStyle w:val="Hyperlink"/>
            <w:sz w:val="18"/>
            <w:szCs w:val="18"/>
          </w:rPr>
          <w:t>https://www.bis.org/publ/bisbull120.pdf</w:t>
        </w:r>
      </w:hyperlink>
    </w:p>
  </w:footnote>
  <w:footnote w:id="30">
    <w:p w14:paraId="66625512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International Monetary Fund, Global Financial Stability Report, April 2026, Chapter 1. </w:t>
      </w:r>
      <w:hyperlink r:id="rId30" w:history="1">
        <w:r w:rsidR="00E2059E">
          <w:rPr>
            <w:rStyle w:val="Hyperlink"/>
            <w:sz w:val="18"/>
            <w:szCs w:val="18"/>
          </w:rPr>
          <w:t>https://www.imf.org/-/media/files/publications/gfsr/2026/april/english/ch1.pdf</w:t>
        </w:r>
      </w:hyperlink>
    </w:p>
  </w:footnote>
  <w:footnote w:id="31">
    <w:p w14:paraId="656670E6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Board, H.15 Selected Interest Rates, 10-year Treasury constant maturity, via FRED series DGS10, data through August 21, 2026. </w:t>
      </w:r>
      <w:hyperlink r:id="rId31" w:history="1">
        <w:r w:rsidR="00E2059E">
          <w:rPr>
            <w:rStyle w:val="Hyperlink"/>
            <w:sz w:val="18"/>
            <w:szCs w:val="18"/>
          </w:rPr>
          <w:t>https://fred.stlouisfed.org/series/DGS10</w:t>
        </w:r>
      </w:hyperlink>
    </w:p>
  </w:footnote>
  <w:footnote w:id="32">
    <w:p w14:paraId="26060DD5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Reuters, "Global bond markets put governments on notice over fiscal, inflation risks," August 18, 2026. </w:t>
      </w:r>
      <w:hyperlink r:id="rId32" w:history="1">
        <w:r w:rsidR="00E2059E">
          <w:rPr>
            <w:rStyle w:val="Hyperlink"/>
            <w:sz w:val="18"/>
            <w:szCs w:val="18"/>
          </w:rPr>
          <w:t>https://www.reuters.com/world/china/selling-grips-bond-markets-us-japan-inflation-fiscal-worries-take-hold-2026-08-18/</w:t>
        </w:r>
      </w:hyperlink>
    </w:p>
  </w:footnote>
  <w:footnote w:id="33">
    <w:p w14:paraId="514D7BE5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Congressional Budget Office, "The Budget and Economic Outlook: 2026 to 2036," February 11, 2026. </w:t>
      </w:r>
      <w:hyperlink r:id="rId33" w:history="1">
        <w:r w:rsidR="00E2059E">
          <w:rPr>
            <w:rStyle w:val="Hyperlink"/>
            <w:sz w:val="18"/>
            <w:szCs w:val="18"/>
          </w:rPr>
          <w:t>https://www.cbo.gov/publication/61882</w:t>
        </w:r>
      </w:hyperlink>
    </w:p>
  </w:footnote>
  <w:footnote w:id="34">
    <w:p w14:paraId="2496E00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SIFMA, U.S. Treasury Securities Statistics, August 10, 2026. </w:t>
      </w:r>
      <w:hyperlink r:id="rId34" w:history="1">
        <w:r w:rsidR="00E2059E">
          <w:rPr>
            <w:rStyle w:val="Hyperlink"/>
            <w:sz w:val="18"/>
            <w:szCs w:val="18"/>
          </w:rPr>
          <w:t>https://www.sifma.org/research/statistics/us-treasury-securities-statistics</w:t>
        </w:r>
      </w:hyperlink>
    </w:p>
  </w:footnote>
  <w:footnote w:id="35">
    <w:p w14:paraId="4B1D2C3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Brookings Institution (Hutchins Center), "Who’s buying U.S. Treasury debt, and </w:t>
      </w:r>
      <w:proofErr w:type="gramStart"/>
      <w:r>
        <w:rPr>
          <w:sz w:val="18"/>
          <w:szCs w:val="18"/>
        </w:rPr>
        <w:t>why?,</w:t>
      </w:r>
      <w:proofErr w:type="gramEnd"/>
      <w:r>
        <w:rPr>
          <w:sz w:val="18"/>
          <w:szCs w:val="18"/>
        </w:rPr>
        <w:t xml:space="preserve">" August 20, 2026. </w:t>
      </w:r>
      <w:hyperlink r:id="rId35" w:history="1">
        <w:r w:rsidR="00E2059E">
          <w:rPr>
            <w:rStyle w:val="Hyperlink"/>
            <w:sz w:val="18"/>
            <w:szCs w:val="18"/>
          </w:rPr>
          <w:t>https://www.brookings.edu/articles/whos-buying-u-s-treasury-debt-and-why/</w:t>
        </w:r>
      </w:hyperlink>
    </w:p>
  </w:footnote>
  <w:footnote w:id="36">
    <w:p w14:paraId="3936BC69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Bank of New York, "Treasury Term Premia" (Adrian–Crump–Moench model), updated weekly. </w:t>
      </w:r>
      <w:hyperlink r:id="rId36" w:history="1">
        <w:r w:rsidR="00E2059E">
          <w:rPr>
            <w:rStyle w:val="Hyperlink"/>
            <w:sz w:val="18"/>
            <w:szCs w:val="18"/>
          </w:rPr>
          <w:t>https://www.newyorkfed.org/research/data_indicators/term-premia-tabs</w:t>
        </w:r>
      </w:hyperlink>
    </w:p>
  </w:footnote>
  <w:footnote w:id="37">
    <w:p w14:paraId="03E6CDF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Board, Kim–Wright three-factor term-structure model, 10-year term premium, via FRED series THREEFYTP10, data through August 2026. </w:t>
      </w:r>
      <w:hyperlink r:id="rId37" w:history="1">
        <w:r w:rsidR="00E2059E">
          <w:rPr>
            <w:rStyle w:val="Hyperlink"/>
            <w:sz w:val="18"/>
            <w:szCs w:val="18"/>
          </w:rPr>
          <w:t>https://fred.stlouisfed.org/series/THREEFYTP10</w:t>
        </w:r>
      </w:hyperlink>
    </w:p>
  </w:footnote>
  <w:footnote w:id="38">
    <w:p w14:paraId="4878D4C0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Reserve, FOMC statement announcing the December 1, </w:t>
      </w:r>
      <w:proofErr w:type="gramStart"/>
      <w:r>
        <w:rPr>
          <w:sz w:val="18"/>
          <w:szCs w:val="18"/>
        </w:rPr>
        <w:t>2025</w:t>
      </w:r>
      <w:proofErr w:type="gramEnd"/>
      <w:r>
        <w:rPr>
          <w:sz w:val="18"/>
          <w:szCs w:val="18"/>
        </w:rPr>
        <w:t xml:space="preserve"> conclusion of balance-sheet runoff, October 29, 2025. </w:t>
      </w:r>
      <w:hyperlink r:id="rId38" w:history="1">
        <w:r w:rsidR="00E2059E">
          <w:rPr>
            <w:rStyle w:val="Hyperlink"/>
            <w:sz w:val="18"/>
            <w:szCs w:val="18"/>
          </w:rPr>
          <w:t>https://www.federalreserve.gov/newsevents/pressreleases/monetary20251029a.htm</w:t>
        </w:r>
      </w:hyperlink>
    </w:p>
  </w:footnote>
  <w:footnote w:id="39">
    <w:p w14:paraId="5E8696E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Bank of Dallas, "How AI debt financing impacts duration supply and interest rates" (De Vere, Ramaswamy and Searls), February 10, 2026. </w:t>
      </w:r>
      <w:hyperlink r:id="rId39" w:history="1">
        <w:r w:rsidR="00E2059E">
          <w:rPr>
            <w:rStyle w:val="Hyperlink"/>
            <w:sz w:val="18"/>
            <w:szCs w:val="18"/>
          </w:rPr>
          <w:t>https://www.dallasfed.org/research/economics/2026/0210-searls-aifinancing</w:t>
        </w:r>
      </w:hyperlink>
    </w:p>
  </w:footnote>
  <w:footnote w:id="40">
    <w:p w14:paraId="6C58DF62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Reuters (Jamie McGeever), "Don’t blame US bond market indigestion on AI debt binge," August 19, 2026. </w:t>
      </w:r>
      <w:hyperlink r:id="rId40" w:history="1">
        <w:r w:rsidR="00E2059E">
          <w:rPr>
            <w:rStyle w:val="Hyperlink"/>
            <w:sz w:val="18"/>
            <w:szCs w:val="18"/>
          </w:rPr>
          <w:t>https://www.reuters.com/commentary/reuters-open-interest/dont-blame-us-bond-market-indigestion-ai-debt-binge-mcgeever-2026-08-19/</w:t>
        </w:r>
      </w:hyperlink>
    </w:p>
  </w:footnote>
  <w:footnote w:id="41">
    <w:p w14:paraId="287E91EA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Reuters (Jamie McGeever), "Don’t blame US bond market indigestion on AI debt binge," August 19, 2026. </w:t>
      </w:r>
      <w:hyperlink r:id="rId41" w:history="1">
        <w:r w:rsidR="00E2059E">
          <w:rPr>
            <w:rStyle w:val="Hyperlink"/>
            <w:sz w:val="18"/>
            <w:szCs w:val="18"/>
          </w:rPr>
          <w:t>https://www.reuters.com/commentary/reuters-open-interest/dont-blame-us-bond-market-indigestion-ai-debt-binge-mcgeever-2026-08-19/</w:t>
        </w:r>
      </w:hyperlink>
    </w:p>
  </w:footnote>
  <w:footnote w:id="42">
    <w:p w14:paraId="1AB07349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Bank of New York, Liberty Street Economics, "AI’s Macroeconomic Challenges and Promises," May 20, 2026. </w:t>
      </w:r>
      <w:hyperlink r:id="rId42" w:history="1">
        <w:r w:rsidR="00E2059E">
          <w:rPr>
            <w:rStyle w:val="Hyperlink"/>
            <w:sz w:val="18"/>
            <w:szCs w:val="18"/>
          </w:rPr>
          <w:t>https://libertystreeteconomics.newyorkfed.org/2026/05/ais-macroeconomic-challenges-and-promises/</w:t>
        </w:r>
      </w:hyperlink>
    </w:p>
  </w:footnote>
  <w:footnote w:id="43">
    <w:p w14:paraId="7E43709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>Federal Reserve Bank of New York, Staff Report No. 674, "Understanding Mortgage Spreads" (</w:t>
      </w:r>
      <w:proofErr w:type="spellStart"/>
      <w:r>
        <w:rPr>
          <w:sz w:val="18"/>
          <w:szCs w:val="18"/>
        </w:rPr>
        <w:t>Boyarchenko</w:t>
      </w:r>
      <w:proofErr w:type="spellEnd"/>
      <w:r>
        <w:rPr>
          <w:sz w:val="18"/>
          <w:szCs w:val="18"/>
        </w:rPr>
        <w:t xml:space="preserve">, Fuster and Lucca). </w:t>
      </w:r>
      <w:hyperlink r:id="rId43" w:history="1">
        <w:r w:rsidR="00E2059E">
          <w:rPr>
            <w:rStyle w:val="Hyperlink"/>
            <w:sz w:val="18"/>
            <w:szCs w:val="18"/>
          </w:rPr>
          <w:t>https://www.newyorkfed.org/research/staff_reports/sr674.html</w:t>
        </w:r>
      </w:hyperlink>
    </w:p>
  </w:footnote>
  <w:footnote w:id="44">
    <w:p w14:paraId="7C44209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Freddie Mac, Primary Mortgage Market Survey, via FRED series MORTGAGE30US, data through August 20, 2026. </w:t>
      </w:r>
      <w:hyperlink r:id="rId44" w:history="1">
        <w:r w:rsidR="00E2059E">
          <w:rPr>
            <w:rStyle w:val="Hyperlink"/>
            <w:sz w:val="18"/>
            <w:szCs w:val="18"/>
          </w:rPr>
          <w:t>https://fred.stlouisfed.org/series/MORTGAGE30US</w:t>
        </w:r>
      </w:hyperlink>
    </w:p>
  </w:footnote>
  <w:footnote w:id="45">
    <w:p w14:paraId="5CA3D7F6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Reserve Board, H.15 Selected Interest Rates, 10-year Treasury constant maturity, via FRED series DGS10, data through August 21, 2026. </w:t>
      </w:r>
      <w:hyperlink r:id="rId45" w:history="1">
        <w:r w:rsidR="00E2059E">
          <w:rPr>
            <w:rStyle w:val="Hyperlink"/>
            <w:sz w:val="18"/>
            <w:szCs w:val="18"/>
          </w:rPr>
          <w:t>https://fred.stlouisfed.org/series/DGS10</w:t>
        </w:r>
      </w:hyperlink>
    </w:p>
  </w:footnote>
  <w:footnote w:id="46">
    <w:p w14:paraId="14A0E9B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Freddie Mac, Primary Mortgage Market Survey, via FRED series MORTGAGE30US, data through August 20, 2026. </w:t>
      </w:r>
      <w:hyperlink r:id="rId46" w:history="1">
        <w:r w:rsidR="00E2059E">
          <w:rPr>
            <w:rStyle w:val="Hyperlink"/>
            <w:sz w:val="18"/>
            <w:szCs w:val="18"/>
          </w:rPr>
          <w:t>https://fred.stlouisfed.org/series/MORTGAGE30US</w:t>
        </w:r>
      </w:hyperlink>
    </w:p>
  </w:footnote>
  <w:footnote w:id="47">
    <w:p w14:paraId="7C33A450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>Federal Reserve Bank of New York, Staff Report No. 674, "Understanding Mortgage Spreads" (</w:t>
      </w:r>
      <w:proofErr w:type="spellStart"/>
      <w:r>
        <w:rPr>
          <w:sz w:val="18"/>
          <w:szCs w:val="18"/>
        </w:rPr>
        <w:t>Boyarchenko</w:t>
      </w:r>
      <w:proofErr w:type="spellEnd"/>
      <w:r>
        <w:rPr>
          <w:sz w:val="18"/>
          <w:szCs w:val="18"/>
        </w:rPr>
        <w:t xml:space="preserve">, Fuster and Lucca). </w:t>
      </w:r>
      <w:hyperlink r:id="rId47" w:history="1">
        <w:r w:rsidR="00E2059E">
          <w:rPr>
            <w:rStyle w:val="Hyperlink"/>
            <w:sz w:val="18"/>
            <w:szCs w:val="18"/>
          </w:rPr>
          <w:t>https://www.newyorkfed.org/research/staff_reports/sr674.html</w:t>
        </w:r>
      </w:hyperlink>
    </w:p>
  </w:footnote>
  <w:footnote w:id="48">
    <w:p w14:paraId="64339B2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National Association of Realtors, "Existing-Home Sales Report Shows 1.7% Decrease in July," August 11, 2026. </w:t>
      </w:r>
      <w:hyperlink r:id="rId48" w:history="1">
        <w:r w:rsidR="00E2059E">
          <w:rPr>
            <w:rStyle w:val="Hyperlink"/>
            <w:sz w:val="18"/>
            <w:szCs w:val="18"/>
          </w:rPr>
          <w:t>https://www.nar.realtor/newsroom/nar-existing-home-sales-report-shows-1-7-decrease-in-july</w:t>
        </w:r>
      </w:hyperlink>
    </w:p>
  </w:footnote>
  <w:footnote w:id="49">
    <w:p w14:paraId="2AD41E6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National Association of Realtors, Existing-Home Sales statistics page, accessed August 25, 2026. </w:t>
      </w:r>
      <w:hyperlink r:id="rId49" w:history="1">
        <w:r w:rsidR="00E2059E">
          <w:rPr>
            <w:rStyle w:val="Hyperlink"/>
            <w:sz w:val="18"/>
            <w:szCs w:val="18"/>
          </w:rPr>
          <w:t>https://www.nar.realtor/research-and-statistics/housing-statistics/existing-home-sales</w:t>
        </w:r>
      </w:hyperlink>
    </w:p>
  </w:footnote>
  <w:footnote w:id="50">
    <w:p w14:paraId="269E48B4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 and HUD, New Residential Construction, July 2026 release, August 18, 2026. </w:t>
      </w:r>
      <w:hyperlink r:id="rId50" w:history="1">
        <w:r w:rsidR="00E2059E">
          <w:rPr>
            <w:rStyle w:val="Hyperlink"/>
            <w:sz w:val="18"/>
            <w:szCs w:val="18"/>
          </w:rPr>
          <w:t>https://www.census.gov/construction/nrc/pdf/newresconst.pdf</w:t>
        </w:r>
      </w:hyperlink>
    </w:p>
  </w:footnote>
  <w:footnote w:id="51">
    <w:p w14:paraId="2157F696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 and HUD, Monthly New Residential Sales, June 2026 release, July 24, 2026. </w:t>
      </w:r>
      <w:hyperlink r:id="rId51" w:history="1">
        <w:r w:rsidR="00E2059E">
          <w:rPr>
            <w:rStyle w:val="Hyperlink"/>
            <w:sz w:val="18"/>
            <w:szCs w:val="18"/>
          </w:rPr>
          <w:t>https://www.census.gov/construction/nrs/pdf/newressales.pdf</w:t>
        </w:r>
      </w:hyperlink>
    </w:p>
  </w:footnote>
  <w:footnote w:id="52">
    <w:p w14:paraId="469BA020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Housing Finance Agency, Working Paper 24-03, "The Lock-In Effect of Rising Mortgage Rates" (Fonseca, Liu and </w:t>
      </w:r>
      <w:proofErr w:type="spellStart"/>
      <w:r>
        <w:rPr>
          <w:sz w:val="18"/>
          <w:szCs w:val="18"/>
        </w:rPr>
        <w:t>Mabille</w:t>
      </w:r>
      <w:proofErr w:type="spellEnd"/>
      <w:r>
        <w:rPr>
          <w:sz w:val="18"/>
          <w:szCs w:val="18"/>
        </w:rPr>
        <w:t xml:space="preserve">), March 2024. </w:t>
      </w:r>
      <w:hyperlink r:id="rId52" w:history="1">
        <w:r w:rsidR="00E2059E">
          <w:rPr>
            <w:rStyle w:val="Hyperlink"/>
            <w:sz w:val="18"/>
            <w:szCs w:val="18"/>
          </w:rPr>
          <w:t>https://www.fhfa.gov/research/papers/wp2403</w:t>
        </w:r>
      </w:hyperlink>
    </w:p>
  </w:footnote>
  <w:footnote w:id="53">
    <w:p w14:paraId="5B5AB7FA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Harvard Joint Center for Housing Studies, "The State of the Nation’s Housing 2026," June 17, 2026. </w:t>
      </w:r>
      <w:hyperlink r:id="rId53" w:history="1">
        <w:r w:rsidR="00E2059E">
          <w:rPr>
            <w:rStyle w:val="Hyperlink"/>
            <w:sz w:val="18"/>
            <w:szCs w:val="18"/>
          </w:rPr>
          <w:t>https://www.jchs.harvard.edu/state-nations-housing-2026</w:t>
        </w:r>
      </w:hyperlink>
    </w:p>
  </w:footnote>
  <w:footnote w:id="54">
    <w:p w14:paraId="4250CF2E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Fannie Mae, Housing Forecast, August 2026 vintage, published August 13, 2026. </w:t>
      </w:r>
      <w:hyperlink r:id="rId54" w:history="1">
        <w:r w:rsidR="00E2059E">
          <w:rPr>
            <w:rStyle w:val="Hyperlink"/>
            <w:sz w:val="18"/>
            <w:szCs w:val="18"/>
          </w:rPr>
          <w:t>https://www.fanniemae.com/media/58011/display</w:t>
        </w:r>
      </w:hyperlink>
    </w:p>
  </w:footnote>
  <w:footnote w:id="55">
    <w:p w14:paraId="3128FDF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Scotsman Guide, "MBA raises rate forecast, slashes refinance outlook," August 21, 2026. </w:t>
      </w:r>
      <w:hyperlink r:id="rId55" w:history="1">
        <w:r w:rsidR="00E2059E">
          <w:rPr>
            <w:rStyle w:val="Hyperlink"/>
            <w:sz w:val="18"/>
            <w:szCs w:val="18"/>
          </w:rPr>
          <w:t>https://www.scotsmanguide.com/news/mba-raises-rate-forecast-slashes-refinance-outlook/</w:t>
        </w:r>
      </w:hyperlink>
    </w:p>
  </w:footnote>
  <w:footnote w:id="56">
    <w:p w14:paraId="0CA4AA6E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National Association of Realtors, "NAR Chief Economist Lawrence Yun Says Home Sales Expected to Improve in Second Half of 2026," June 16, 2026. </w:t>
      </w:r>
      <w:hyperlink r:id="rId56" w:history="1">
        <w:r w:rsidR="00E2059E">
          <w:rPr>
            <w:rStyle w:val="Hyperlink"/>
            <w:sz w:val="18"/>
            <w:szCs w:val="18"/>
          </w:rPr>
          <w:t>https://www.nar.realtor/newsroom/nar-chief-economist-lawrence-yun-says-home-sales-expected-to-improve-in-second-half-of-2026</w:t>
        </w:r>
      </w:hyperlink>
    </w:p>
  </w:footnote>
  <w:footnote w:id="57">
    <w:p w14:paraId="242AF76F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Fannie Mae, Housing Forecast, August 2026 vintage, published August 13, 2026. </w:t>
      </w:r>
      <w:hyperlink r:id="rId57" w:history="1">
        <w:r w:rsidR="00E2059E">
          <w:rPr>
            <w:rStyle w:val="Hyperlink"/>
            <w:sz w:val="18"/>
            <w:szCs w:val="18"/>
          </w:rPr>
          <w:t>https://www.fanniemae.com/media/58011/display</w:t>
        </w:r>
      </w:hyperlink>
    </w:p>
  </w:footnote>
  <w:footnote w:id="58">
    <w:p w14:paraId="1F631D04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Scotsman Guide, "MBA raises rate forecast, slashes refinance outlook," August 21, 2026. </w:t>
      </w:r>
      <w:hyperlink r:id="rId58" w:history="1">
        <w:r w:rsidR="00E2059E">
          <w:rPr>
            <w:rStyle w:val="Hyperlink"/>
            <w:sz w:val="18"/>
            <w:szCs w:val="18"/>
          </w:rPr>
          <w:t>https://www.scotsmanguide.com/news/mba-raises-rate-forecast-slashes-refinance-outlook/</w:t>
        </w:r>
      </w:hyperlink>
    </w:p>
  </w:footnote>
  <w:footnote w:id="59">
    <w:p w14:paraId="385CE51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 and HUD, New Residential Construction, July 2026 release, August 18, 2026. </w:t>
      </w:r>
      <w:hyperlink r:id="rId59" w:history="1">
        <w:r w:rsidR="00E2059E">
          <w:rPr>
            <w:rStyle w:val="Hyperlink"/>
            <w:sz w:val="18"/>
            <w:szCs w:val="18"/>
          </w:rPr>
          <w:t>https://www.census.gov/construction/nrc/pdf/newresconst.pdf</w:t>
        </w:r>
      </w:hyperlink>
    </w:p>
  </w:footnote>
  <w:footnote w:id="60">
    <w:p w14:paraId="5ECC8302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The New York Times, "America’s Furniture Stores Struggle to Survive a Frozen Housing Market," April 9, 2026. </w:t>
      </w:r>
      <w:hyperlink r:id="rId60" w:history="1">
        <w:r w:rsidR="00E2059E">
          <w:rPr>
            <w:rStyle w:val="Hyperlink"/>
            <w:sz w:val="18"/>
            <w:szCs w:val="18"/>
          </w:rPr>
          <w:t>https://www.nytimes.com/2026/04/09/business/furniture-stores-housing-market-crisis.html</w:t>
        </w:r>
      </w:hyperlink>
    </w:p>
  </w:footnote>
  <w:footnote w:id="61">
    <w:p w14:paraId="66CAC8A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NAHB Eye on Housing, "What Do Home Buyers Purchase After They Move In," analysis of BLS Consumer Expenditure Survey 2020–2023 microdata, July 22, 2026. </w:t>
      </w:r>
      <w:hyperlink r:id="rId61" w:history="1">
        <w:r w:rsidR="00E2059E">
          <w:rPr>
            <w:rStyle w:val="Hyperlink"/>
            <w:sz w:val="18"/>
            <w:szCs w:val="18"/>
          </w:rPr>
          <w:t>https://eyeonhousing.org/2026/07/what-do-home-buyers-purchase-after-they-move-in/</w:t>
        </w:r>
      </w:hyperlink>
    </w:p>
  </w:footnote>
  <w:footnote w:id="62">
    <w:p w14:paraId="0C80A236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Favara, Graham and Li, "Of House and Home-Related Goods: The Home Purchase Channel of Expenditure," Federal Reserve Board, FEDS Working Paper 2025-045, June 2025. </w:t>
      </w:r>
      <w:hyperlink r:id="rId62" w:history="1">
        <w:r w:rsidR="00E2059E">
          <w:rPr>
            <w:rStyle w:val="Hyperlink"/>
            <w:sz w:val="18"/>
            <w:szCs w:val="18"/>
          </w:rPr>
          <w:t>https://www.federalreserve.gov/econres/feds/files/2025045pap.pdf</w:t>
        </w:r>
      </w:hyperlink>
    </w:p>
  </w:footnote>
  <w:footnote w:id="63">
    <w:p w14:paraId="3DDBA88A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Statistics Canada, "On the move with homebuyers: Shopping for furniture," Analysis in Brief 11-621-M2004012, 2004. </w:t>
      </w:r>
      <w:hyperlink r:id="rId63" w:history="1">
        <w:r w:rsidR="00E2059E">
          <w:rPr>
            <w:rStyle w:val="Hyperlink"/>
            <w:sz w:val="18"/>
            <w:szCs w:val="18"/>
          </w:rPr>
          <w:t>https://www150.statcan.gc.ca/n1/pub/11-621-m/11-621-m2004012-eng.htm</w:t>
        </w:r>
      </w:hyperlink>
    </w:p>
  </w:footnote>
  <w:footnote w:id="64">
    <w:p w14:paraId="2EDD957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Bureau of Economic Analysis, personal consumption expenditures on furniture and furnishings, via FRED series DFFFRC1A027NBEA. </w:t>
      </w:r>
      <w:hyperlink r:id="rId64" w:history="1">
        <w:r w:rsidR="00E2059E">
          <w:rPr>
            <w:rStyle w:val="Hyperlink"/>
            <w:sz w:val="18"/>
            <w:szCs w:val="18"/>
          </w:rPr>
          <w:t>https://fred.stlouisfed.org/series/DFFFRC1A027NBEA</w:t>
        </w:r>
      </w:hyperlink>
    </w:p>
  </w:footnote>
  <w:footnote w:id="65">
    <w:p w14:paraId="05BAEBB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NAHB Eye on Housing, "What Do Home Buyers Purchase After They Move In," analysis of BLS Consumer Expenditure Survey 2020–2023 microdata, July 22, 2026. </w:t>
      </w:r>
      <w:hyperlink r:id="rId65" w:history="1">
        <w:r w:rsidR="00E2059E">
          <w:rPr>
            <w:rStyle w:val="Hyperlink"/>
            <w:sz w:val="18"/>
            <w:szCs w:val="18"/>
          </w:rPr>
          <w:t>https://eyeonhousing.org/2026/07/what-do-home-buyers-purchase-after-they-move-in/</w:t>
        </w:r>
      </w:hyperlink>
    </w:p>
  </w:footnote>
  <w:footnote w:id="66">
    <w:p w14:paraId="6EF09E65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Favara, Graham and Li, "Of House and Home-Related Goods: The Home Purchase Channel of Expenditure," Federal Reserve Board, FEDS Working Paper 2025-045, June 2025. </w:t>
      </w:r>
      <w:hyperlink r:id="rId66" w:history="1">
        <w:r w:rsidR="00E2059E">
          <w:rPr>
            <w:rStyle w:val="Hyperlink"/>
            <w:sz w:val="18"/>
            <w:szCs w:val="18"/>
          </w:rPr>
          <w:t>https://www.federalreserve.gov/econres/feds/files/2025045pap.pdf</w:t>
        </w:r>
      </w:hyperlink>
    </w:p>
  </w:footnote>
  <w:footnote w:id="67">
    <w:p w14:paraId="1FF97245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Harvard Joint Center for Housing Studies, "The State of the Nation’s Housing 2009," housing-markets chapter. </w:t>
      </w:r>
      <w:hyperlink r:id="rId67" w:history="1">
        <w:r w:rsidR="00E2059E">
          <w:rPr>
            <w:rStyle w:val="Hyperlink"/>
            <w:sz w:val="18"/>
            <w:szCs w:val="18"/>
          </w:rPr>
          <w:t>https://www.jchs.harvard.edu/sites/jchs.harvard.edu/files/son2009_bw_housing_markets.pdf</w:t>
        </w:r>
      </w:hyperlink>
    </w:p>
  </w:footnote>
  <w:footnote w:id="68">
    <w:p w14:paraId="3FA171FF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Bureau, Monthly Retail Trade Survey, Furniture and Home Furnishings Stores (NAICS 442), time-series file, retrieved August 25, 2026. </w:t>
      </w:r>
      <w:hyperlink r:id="rId68" w:history="1">
        <w:r w:rsidR="00E2059E">
          <w:rPr>
            <w:rStyle w:val="Hyperlink"/>
            <w:sz w:val="18"/>
            <w:szCs w:val="18"/>
          </w:rPr>
          <w:t>https://www.census.gov/retail/mrts/www/mrtssales92-present.xlsx</w:t>
        </w:r>
      </w:hyperlink>
    </w:p>
  </w:footnote>
  <w:footnote w:id="69">
    <w:p w14:paraId="2F9F0E91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William Blair Equity Research, "Furniture &amp; Home Renovations: Post-Pandemic Normalization," 2025. </w:t>
      </w:r>
      <w:hyperlink r:id="rId69" w:history="1">
        <w:r w:rsidR="00E2059E">
          <w:rPr>
            <w:rStyle w:val="Hyperlink"/>
            <w:sz w:val="18"/>
            <w:szCs w:val="18"/>
          </w:rPr>
          <w:t>https://www.williamblair.com/-/media/downloads/eqr/2025/williamblair_furniture-home-renovations-post-pandemic-normalization.pdf</w:t>
        </w:r>
      </w:hyperlink>
    </w:p>
  </w:footnote>
  <w:footnote w:id="70">
    <w:p w14:paraId="03FE9CB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Bureau, Monthly Retail Trade Survey, Furniture and Home Furnishings Stores (NAICS 442), time-series file, retrieved August 25, 2026. </w:t>
      </w:r>
      <w:hyperlink r:id="rId70" w:history="1">
        <w:r w:rsidR="00E2059E">
          <w:rPr>
            <w:rStyle w:val="Hyperlink"/>
            <w:sz w:val="18"/>
            <w:szCs w:val="18"/>
          </w:rPr>
          <w:t>https://www.census.gov/retail/mrts/www/mrtssales92-present.xlsx</w:t>
        </w:r>
      </w:hyperlink>
    </w:p>
  </w:footnote>
  <w:footnote w:id="71">
    <w:p w14:paraId="59CF736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Bureau, Advance Monthly Retail Trade Report, July 2026. </w:t>
      </w:r>
      <w:hyperlink r:id="rId71" w:history="1">
        <w:r w:rsidR="00E2059E">
          <w:rPr>
            <w:rStyle w:val="Hyperlink"/>
            <w:sz w:val="18"/>
            <w:szCs w:val="18"/>
          </w:rPr>
          <w:t>https://www.census.gov/retail/marts/www/marts_current.pdf</w:t>
        </w:r>
      </w:hyperlink>
    </w:p>
  </w:footnote>
  <w:footnote w:id="72">
    <w:p w14:paraId="068BC6A3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Customs and Border Protection, CSMS bulletin implementing Proclamation 10976 (Section 232 tariffs on timber, lumber, and wood furniture), October 10, 2025. </w:t>
      </w:r>
      <w:hyperlink r:id="rId72" w:history="1">
        <w:r w:rsidR="00E2059E">
          <w:rPr>
            <w:rStyle w:val="Hyperlink"/>
            <w:sz w:val="18"/>
            <w:szCs w:val="18"/>
          </w:rPr>
          <w:t>https://content.govdelivery.com/accounts/USDHSCBP/bulletins/3f69699</w:t>
        </w:r>
      </w:hyperlink>
    </w:p>
  </w:footnote>
  <w:footnote w:id="73">
    <w:p w14:paraId="3B500ADF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Sandler, Travis &amp; Rosenberg Trade Report, "Tariff increase delayed on furniture, kitchen cabinets, vanities," January 6, 2026. </w:t>
      </w:r>
      <w:hyperlink r:id="rId73" w:history="1">
        <w:r w:rsidR="00E2059E">
          <w:rPr>
            <w:rStyle w:val="Hyperlink"/>
            <w:sz w:val="18"/>
            <w:szCs w:val="18"/>
          </w:rPr>
          <w:t>https://www.strtrade.com/trade-news-resources/str-trade-report/trade-report/january/tariff-increase-delayed-on-furniture-kitchen-cabinets-vanities</w:t>
        </w:r>
      </w:hyperlink>
    </w:p>
  </w:footnote>
  <w:footnote w:id="74">
    <w:p w14:paraId="08BDD492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Bureau of Labor Statistics, Consumer Price Index, July 2026 release, Table 2 (furniture and bedding). </w:t>
      </w:r>
      <w:hyperlink r:id="rId74" w:history="1">
        <w:r w:rsidR="00E2059E">
          <w:rPr>
            <w:rStyle w:val="Hyperlink"/>
            <w:sz w:val="18"/>
            <w:szCs w:val="18"/>
          </w:rPr>
          <w:t>https://www.bls.gov/news.release/cpi.t02.htm</w:t>
        </w:r>
      </w:hyperlink>
    </w:p>
  </w:footnote>
  <w:footnote w:id="75">
    <w:p w14:paraId="7590AA6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Zelman &amp; Associates, "Furniture Demand Faces the Elasticity Test, but Housing Turnover and Home Price Appreciation Hold the Key" (Morar), February 13, 2026. </w:t>
      </w:r>
      <w:hyperlink r:id="rId75" w:history="1">
        <w:r w:rsidR="00E2059E">
          <w:rPr>
            <w:rStyle w:val="Hyperlink"/>
            <w:sz w:val="18"/>
            <w:szCs w:val="18"/>
          </w:rPr>
          <w:t>https://www.zelmanassociates.com/resources/zelman-insights/2026-02-(1)/furniture-demand-faces-the-elasticity-test,-but-ho</w:t>
        </w:r>
      </w:hyperlink>
    </w:p>
  </w:footnote>
  <w:footnote w:id="76">
    <w:p w14:paraId="49E6D2B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Smith Leonard PLLC, Furniture Insights, July 2026 issue (May 2026 data), August 6, 2026. </w:t>
      </w:r>
      <w:hyperlink r:id="rId76" w:history="1">
        <w:r w:rsidR="00E2059E">
          <w:rPr>
            <w:rStyle w:val="Hyperlink"/>
            <w:sz w:val="18"/>
            <w:szCs w:val="18"/>
          </w:rPr>
          <w:t>https://www.smith-leonard.com/2026/08/06/july-2026-furniture-insights/</w:t>
        </w:r>
      </w:hyperlink>
    </w:p>
  </w:footnote>
  <w:footnote w:id="77">
    <w:p w14:paraId="372E9C75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Harvard Joint Center for Housing Studies, Leading Indicator of Remodeling Activity, July 23, 2026. </w:t>
      </w:r>
      <w:hyperlink r:id="rId77" w:history="1">
        <w:r w:rsidR="00E2059E">
          <w:rPr>
            <w:rStyle w:val="Hyperlink"/>
            <w:sz w:val="18"/>
            <w:szCs w:val="18"/>
          </w:rPr>
          <w:t>https://www.jchs.harvard.edu/blog/remodeling-spending-poised-further-slowdown</w:t>
        </w:r>
      </w:hyperlink>
    </w:p>
  </w:footnote>
  <w:footnote w:id="78">
    <w:p w14:paraId="12351683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Harvard Joint Center for Housing Studies, "The State of the Nation’s Housing 2009," housing-markets chapter. </w:t>
      </w:r>
      <w:hyperlink r:id="rId78" w:history="1">
        <w:r w:rsidR="00E2059E">
          <w:rPr>
            <w:rStyle w:val="Hyperlink"/>
            <w:sz w:val="18"/>
            <w:szCs w:val="18"/>
          </w:rPr>
          <w:t>https://www.jchs.harvard.edu/sites/jchs.harvard.edu/files/son2009_bw_housing_markets.pdf</w:t>
        </w:r>
      </w:hyperlink>
    </w:p>
  </w:footnote>
  <w:footnote w:id="79">
    <w:p w14:paraId="19AD698C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Bureau, Monthly Retail Trade Survey, Furniture and Home Furnishings Stores (NAICS 442), time-series file, retrieved August 25, 2026. </w:t>
      </w:r>
      <w:hyperlink r:id="rId79" w:history="1">
        <w:r w:rsidR="00E2059E">
          <w:rPr>
            <w:rStyle w:val="Hyperlink"/>
            <w:sz w:val="18"/>
            <w:szCs w:val="18"/>
          </w:rPr>
          <w:t>https://www.census.gov/retail/mrts/www/mrtssales92-present.xlsx</w:t>
        </w:r>
      </w:hyperlink>
    </w:p>
  </w:footnote>
  <w:footnote w:id="80">
    <w:p w14:paraId="2CB6DE0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Favara, Graham and Li, "Of House and Home-Related Goods: The Home Purchase Channel of Expenditure," Federal Reserve Board, FEDS Working Paper 2025-045, June 2025. </w:t>
      </w:r>
      <w:hyperlink r:id="rId80" w:history="1">
        <w:r w:rsidR="00E2059E">
          <w:rPr>
            <w:rStyle w:val="Hyperlink"/>
            <w:sz w:val="18"/>
            <w:szCs w:val="18"/>
          </w:rPr>
          <w:t>https://www.federalreserve.gov/econres/feds/files/2025045pap.pdf</w:t>
        </w:r>
      </w:hyperlink>
    </w:p>
  </w:footnote>
  <w:footnote w:id="81">
    <w:p w14:paraId="7E71696B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Zelman &amp; Associates, "Furniture Demand Faces the Elasticity Test, but Housing Turnover and Home Price Appreciation Hold the Key" (Morar), February 13, 2026. </w:t>
      </w:r>
      <w:hyperlink r:id="rId81" w:history="1">
        <w:r w:rsidR="00E2059E">
          <w:rPr>
            <w:rStyle w:val="Hyperlink"/>
            <w:sz w:val="18"/>
            <w:szCs w:val="18"/>
          </w:rPr>
          <w:t>https://www.zelmanassociates.com/resources/zelman-insights/2026-02-(1)/furniture-demand-faces-the-elasticity-test,-but-ho</w:t>
        </w:r>
      </w:hyperlink>
    </w:p>
  </w:footnote>
  <w:footnote w:id="82">
    <w:p w14:paraId="5FE61FC3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U.S. Census Bureau, Advance Monthly Retail Trade Report, July 2026. </w:t>
      </w:r>
      <w:hyperlink r:id="rId82" w:history="1">
        <w:r w:rsidR="00E2059E">
          <w:rPr>
            <w:rStyle w:val="Hyperlink"/>
            <w:sz w:val="18"/>
            <w:szCs w:val="18"/>
          </w:rPr>
          <w:t>https://www.census.gov/retail/marts/www/marts_current.pdf</w:t>
        </w:r>
      </w:hyperlink>
    </w:p>
  </w:footnote>
  <w:footnote w:id="83">
    <w:p w14:paraId="1A5D594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National Association of Realtors, Existing-Home Sales statistics page, accessed August 25, 2026. </w:t>
      </w:r>
      <w:hyperlink r:id="rId83" w:history="1">
        <w:r w:rsidR="00E2059E">
          <w:rPr>
            <w:rStyle w:val="Hyperlink"/>
            <w:sz w:val="18"/>
            <w:szCs w:val="18"/>
          </w:rPr>
          <w:t>https://www.nar.realtor/research-and-statistics/housing-statistics/existing-home-sales</w:t>
        </w:r>
      </w:hyperlink>
    </w:p>
  </w:footnote>
  <w:footnote w:id="84">
    <w:p w14:paraId="0A36BFAE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Scotsman Guide, "MBA raises rate forecast, slashes refinance outlook," August 21, 2026. </w:t>
      </w:r>
      <w:hyperlink r:id="rId84" w:history="1">
        <w:r w:rsidR="00E2059E">
          <w:rPr>
            <w:rStyle w:val="Hyperlink"/>
            <w:sz w:val="18"/>
            <w:szCs w:val="18"/>
          </w:rPr>
          <w:t>https://www.scotsmanguide.com/news/mba-raises-rate-forecast-slashes-refinance-outlook/</w:t>
        </w:r>
      </w:hyperlink>
    </w:p>
  </w:footnote>
  <w:footnote w:id="85">
    <w:p w14:paraId="7164233D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NAHB Eye on Housing, "What Do Home Buyers Purchase After They Move In," analysis of BLS Consumer Expenditure Survey 2020–2023 microdata, July 22, 2026. </w:t>
      </w:r>
      <w:hyperlink r:id="rId85" w:history="1">
        <w:r w:rsidR="00E2059E">
          <w:rPr>
            <w:rStyle w:val="Hyperlink"/>
            <w:sz w:val="18"/>
            <w:szCs w:val="18"/>
          </w:rPr>
          <w:t>https://eyeonhousing.org/2026/07/what-do-home-buyers-purchase-after-they-move-in/</w:t>
        </w:r>
      </w:hyperlink>
    </w:p>
  </w:footnote>
  <w:footnote w:id="86">
    <w:p w14:paraId="29A8E1BC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Sandler, Travis &amp; Rosenberg Trade Report, "Tariff increase delayed on furniture, kitchen cabinets, vanities," January 6, 2026. </w:t>
      </w:r>
      <w:hyperlink r:id="rId86" w:history="1">
        <w:r w:rsidR="00E2059E">
          <w:rPr>
            <w:rStyle w:val="Hyperlink"/>
            <w:sz w:val="18"/>
            <w:szCs w:val="18"/>
          </w:rPr>
          <w:t>https://www.strtrade.com/trade-news-resources/str-trade-report/trade-report/january/tariff-increase-delayed-on-furniture-kitchen-cabinets-vanities</w:t>
        </w:r>
      </w:hyperlink>
    </w:p>
  </w:footnote>
  <w:footnote w:id="87">
    <w:p w14:paraId="4EE8A57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Zelman &amp; Associates, "Furniture Demand Faces the Elasticity Test, but Housing Turnover and Home Price Appreciation Hold the Key" (Morar), February 13, 2026. </w:t>
      </w:r>
      <w:hyperlink r:id="rId87" w:history="1">
        <w:r w:rsidR="00E2059E">
          <w:rPr>
            <w:rStyle w:val="Hyperlink"/>
            <w:sz w:val="18"/>
            <w:szCs w:val="18"/>
          </w:rPr>
          <w:t>https://www.zelmanassociates.com/resources/zelman-insights/2026-02-(1)/furniture-demand-faces-the-elasticity-test,-but-ho</w:t>
        </w:r>
      </w:hyperlink>
    </w:p>
  </w:footnote>
  <w:footnote w:id="88">
    <w:p w14:paraId="4E209A99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Congressional Budget Office, "The Budget and Economic Outlook: 2026 to 2036," February 11, 2026. </w:t>
      </w:r>
      <w:hyperlink r:id="rId88" w:history="1">
        <w:r w:rsidR="00E2059E">
          <w:rPr>
            <w:rStyle w:val="Hyperlink"/>
            <w:sz w:val="18"/>
            <w:szCs w:val="18"/>
          </w:rPr>
          <w:t>https://www.cbo.gov/publication/61882</w:t>
        </w:r>
      </w:hyperlink>
    </w:p>
  </w:footnote>
  <w:footnote w:id="89">
    <w:p w14:paraId="53D7CDA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>Federal Reserve Bank of New York, Staff Report No. 674, "Understanding Mortgage Spreads" (</w:t>
      </w:r>
      <w:proofErr w:type="spellStart"/>
      <w:r>
        <w:rPr>
          <w:sz w:val="18"/>
          <w:szCs w:val="18"/>
        </w:rPr>
        <w:t>Boyarchenko</w:t>
      </w:r>
      <w:proofErr w:type="spellEnd"/>
      <w:r>
        <w:rPr>
          <w:sz w:val="18"/>
          <w:szCs w:val="18"/>
        </w:rPr>
        <w:t xml:space="preserve">, Fuster and Lucca). </w:t>
      </w:r>
      <w:hyperlink r:id="rId89" w:history="1">
        <w:r w:rsidR="00E2059E">
          <w:rPr>
            <w:rStyle w:val="Hyperlink"/>
            <w:sz w:val="18"/>
            <w:szCs w:val="18"/>
          </w:rPr>
          <w:t>https://www.newyorkfed.org/research/staff_reports/sr674.html</w:t>
        </w:r>
      </w:hyperlink>
    </w:p>
  </w:footnote>
  <w:footnote w:id="90">
    <w:p w14:paraId="18F952FE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Federal Housing Finance Agency, Working Paper 24-03, "The Lock-In Effect of Rising Mortgage Rates" (Fonseca, Liu and </w:t>
      </w:r>
      <w:proofErr w:type="spellStart"/>
      <w:r>
        <w:rPr>
          <w:sz w:val="18"/>
          <w:szCs w:val="18"/>
        </w:rPr>
        <w:t>Mabille</w:t>
      </w:r>
      <w:proofErr w:type="spellEnd"/>
      <w:r>
        <w:rPr>
          <w:sz w:val="18"/>
          <w:szCs w:val="18"/>
        </w:rPr>
        <w:t xml:space="preserve">), March 2024. </w:t>
      </w:r>
      <w:hyperlink r:id="rId90" w:history="1">
        <w:r w:rsidR="00E2059E">
          <w:rPr>
            <w:rStyle w:val="Hyperlink"/>
            <w:sz w:val="18"/>
            <w:szCs w:val="18"/>
          </w:rPr>
          <w:t>https://www.fhfa.gov/research/papers/wp2403</w:t>
        </w:r>
      </w:hyperlink>
    </w:p>
  </w:footnote>
  <w:footnote w:id="91">
    <w:p w14:paraId="2FF18D27" w14:textId="77777777" w:rsidR="00E2059E" w:rsidRDefault="00000000">
      <w:r>
        <w:rPr>
          <w:rStyle w:val="FootnoteReference"/>
        </w:rPr>
        <w:footnoteRef/>
      </w:r>
      <w:r>
        <w:rPr>
          <w:sz w:val="18"/>
          <w:szCs w:val="18"/>
        </w:rPr>
        <w:t xml:space="preserve">Favara, Graham and Li, "Of House and Home-Related Goods: The Home Purchase Channel of Expenditure," Federal Reserve Board, FEDS Working Paper 2025-045, June 2025. </w:t>
      </w:r>
      <w:hyperlink r:id="rId91" w:history="1">
        <w:r w:rsidR="00E2059E">
          <w:rPr>
            <w:rStyle w:val="Hyperlink"/>
            <w:sz w:val="18"/>
            <w:szCs w:val="18"/>
          </w:rPr>
          <w:t>https://www.federalreserve.gov/econres/feds/files/2025045pap.pdf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22903" w14:textId="1CA12965" w:rsidR="00A7512D" w:rsidRDefault="00A7512D">
    <w:pPr>
      <w:pStyle w:val="Header"/>
    </w:pPr>
    <w:r>
      <w:t>By Risk Assurance Partners Research</w:t>
    </w:r>
  </w:p>
  <w:p w14:paraId="26264B3D" w14:textId="44B0DA9C" w:rsidR="00A7512D" w:rsidRDefault="00A7512D">
    <w:pPr>
      <w:pStyle w:val="Header"/>
    </w:pPr>
    <w:r>
      <w:t>Copyright 2026, all Rights Reserved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3AAD"/>
    <w:multiLevelType w:val="hybridMultilevel"/>
    <w:tmpl w:val="777C4FF0"/>
    <w:lvl w:ilvl="0" w:tplc="445CF3A6">
      <w:start w:val="1"/>
      <w:numFmt w:val="bullet"/>
      <w:lvlText w:val="●"/>
      <w:lvlJc w:val="left"/>
      <w:pPr>
        <w:ind w:left="720" w:hanging="360"/>
      </w:pPr>
    </w:lvl>
    <w:lvl w:ilvl="1" w:tplc="ABC0719A">
      <w:start w:val="1"/>
      <w:numFmt w:val="bullet"/>
      <w:lvlText w:val="○"/>
      <w:lvlJc w:val="left"/>
      <w:pPr>
        <w:ind w:left="1440" w:hanging="360"/>
      </w:pPr>
    </w:lvl>
    <w:lvl w:ilvl="2" w:tplc="B7582D5E">
      <w:start w:val="1"/>
      <w:numFmt w:val="bullet"/>
      <w:lvlText w:val="■"/>
      <w:lvlJc w:val="left"/>
      <w:pPr>
        <w:ind w:left="2160" w:hanging="360"/>
      </w:pPr>
    </w:lvl>
    <w:lvl w:ilvl="3" w:tplc="EA881E88">
      <w:start w:val="1"/>
      <w:numFmt w:val="bullet"/>
      <w:lvlText w:val="●"/>
      <w:lvlJc w:val="left"/>
      <w:pPr>
        <w:ind w:left="2880" w:hanging="360"/>
      </w:pPr>
    </w:lvl>
    <w:lvl w:ilvl="4" w:tplc="C02A9514">
      <w:start w:val="1"/>
      <w:numFmt w:val="bullet"/>
      <w:lvlText w:val="○"/>
      <w:lvlJc w:val="left"/>
      <w:pPr>
        <w:ind w:left="3600" w:hanging="360"/>
      </w:pPr>
    </w:lvl>
    <w:lvl w:ilvl="5" w:tplc="CC508DFA">
      <w:start w:val="1"/>
      <w:numFmt w:val="bullet"/>
      <w:lvlText w:val="■"/>
      <w:lvlJc w:val="left"/>
      <w:pPr>
        <w:ind w:left="4320" w:hanging="360"/>
      </w:pPr>
    </w:lvl>
    <w:lvl w:ilvl="6" w:tplc="13D677EC">
      <w:start w:val="1"/>
      <w:numFmt w:val="bullet"/>
      <w:lvlText w:val="●"/>
      <w:lvlJc w:val="left"/>
      <w:pPr>
        <w:ind w:left="5040" w:hanging="360"/>
      </w:pPr>
    </w:lvl>
    <w:lvl w:ilvl="7" w:tplc="0BC84CF4">
      <w:start w:val="1"/>
      <w:numFmt w:val="bullet"/>
      <w:lvlText w:val="●"/>
      <w:lvlJc w:val="left"/>
      <w:pPr>
        <w:ind w:left="5760" w:hanging="360"/>
      </w:pPr>
    </w:lvl>
    <w:lvl w:ilvl="8" w:tplc="964205C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180EB7"/>
    <w:multiLevelType w:val="hybridMultilevel"/>
    <w:tmpl w:val="71A8CDA4"/>
    <w:lvl w:ilvl="0" w:tplc="BFA6BBA8">
      <w:start w:val="1"/>
      <w:numFmt w:val="bullet"/>
      <w:lvlText w:val="•"/>
      <w:lvlJc w:val="left"/>
      <w:pPr>
        <w:ind w:left="540" w:hanging="270"/>
      </w:pPr>
    </w:lvl>
    <w:lvl w:ilvl="1" w:tplc="B036A1EC">
      <w:numFmt w:val="decimal"/>
      <w:lvlText w:val=""/>
      <w:lvlJc w:val="left"/>
    </w:lvl>
    <w:lvl w:ilvl="2" w:tplc="4E102172">
      <w:numFmt w:val="decimal"/>
      <w:lvlText w:val=""/>
      <w:lvlJc w:val="left"/>
    </w:lvl>
    <w:lvl w:ilvl="3" w:tplc="7232424C">
      <w:numFmt w:val="decimal"/>
      <w:lvlText w:val=""/>
      <w:lvlJc w:val="left"/>
    </w:lvl>
    <w:lvl w:ilvl="4" w:tplc="DFD45348">
      <w:numFmt w:val="decimal"/>
      <w:lvlText w:val=""/>
      <w:lvlJc w:val="left"/>
    </w:lvl>
    <w:lvl w:ilvl="5" w:tplc="49C0CE80">
      <w:numFmt w:val="decimal"/>
      <w:lvlText w:val=""/>
      <w:lvlJc w:val="left"/>
    </w:lvl>
    <w:lvl w:ilvl="6" w:tplc="A1EA108A">
      <w:numFmt w:val="decimal"/>
      <w:lvlText w:val=""/>
      <w:lvlJc w:val="left"/>
    </w:lvl>
    <w:lvl w:ilvl="7" w:tplc="F402B7E4">
      <w:numFmt w:val="decimal"/>
      <w:lvlText w:val=""/>
      <w:lvlJc w:val="left"/>
    </w:lvl>
    <w:lvl w:ilvl="8" w:tplc="3FA4F69C">
      <w:numFmt w:val="decimal"/>
      <w:lvlText w:val=""/>
      <w:lvlJc w:val="left"/>
    </w:lvl>
  </w:abstractNum>
  <w:num w:numId="1" w16cid:durableId="582300276">
    <w:abstractNumId w:val="0"/>
    <w:lvlOverride w:ilvl="0">
      <w:startOverride w:val="1"/>
    </w:lvlOverride>
  </w:num>
  <w:num w:numId="2" w16cid:durableId="675036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59E"/>
    <w:rsid w:val="002C0B5D"/>
    <w:rsid w:val="004E40B2"/>
    <w:rsid w:val="005F7C84"/>
    <w:rsid w:val="006048DE"/>
    <w:rsid w:val="009A5ACA"/>
    <w:rsid w:val="00A7512D"/>
    <w:rsid w:val="00C2528B"/>
    <w:rsid w:val="00E2059E"/>
    <w:rsid w:val="00F8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8D7F"/>
  <w15:docId w15:val="{A4FFFA63-D7C7-40EC-BA3B-11F94796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60"/>
      <w:outlineLvl w:val="0"/>
    </w:pPr>
    <w:rPr>
      <w:b/>
      <w:bCs/>
      <w:color w:val="1B474D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8251D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51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512D"/>
  </w:style>
  <w:style w:type="paragraph" w:styleId="Footer">
    <w:name w:val="footer"/>
    <w:basedOn w:val="Normal"/>
    <w:link w:val="FooterChar"/>
    <w:uiPriority w:val="99"/>
    <w:unhideWhenUsed/>
    <w:rsid w:val="00A751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5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notes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reuters.com/legal/transactional/us-corporate-ai-debt-surge-tests-investor-limits-fatigue-emerges-2026-08-21/" TargetMode="External"/><Relationship Id="rId21" Type="http://schemas.openxmlformats.org/officeDocument/2006/relationships/hyperlink" Target="https://www.bis.org/publ/qtrpdf/r_qt2603u.htm" TargetMode="External"/><Relationship Id="rId42" Type="http://schemas.openxmlformats.org/officeDocument/2006/relationships/hyperlink" Target="https://libertystreeteconomics.newyorkfed.org/2026/05/ais-macroeconomic-challenges-and-promises/" TargetMode="External"/><Relationship Id="rId47" Type="http://schemas.openxmlformats.org/officeDocument/2006/relationships/hyperlink" Target="https://www.newyorkfed.org/research/staff_reports/sr674.html" TargetMode="External"/><Relationship Id="rId63" Type="http://schemas.openxmlformats.org/officeDocument/2006/relationships/hyperlink" Target="https://www150.statcan.gc.ca/n1/pub/11-621-m/11-621-m2004012-eng.htm" TargetMode="External"/><Relationship Id="rId68" Type="http://schemas.openxmlformats.org/officeDocument/2006/relationships/hyperlink" Target="https://www.census.gov/retail/mrts/www/mrtssales92-present.xlsx" TargetMode="External"/><Relationship Id="rId84" Type="http://schemas.openxmlformats.org/officeDocument/2006/relationships/hyperlink" Target="https://www.scotsmanguide.com/news/mba-raises-rate-forecast-slashes-refinance-outlook/" TargetMode="External"/><Relationship Id="rId89" Type="http://schemas.openxmlformats.org/officeDocument/2006/relationships/hyperlink" Target="https://www.newyorkfed.org/research/staff_reports/sr674.html" TargetMode="External"/><Relationship Id="rId16" Type="http://schemas.openxmlformats.org/officeDocument/2006/relationships/hyperlink" Target="https://finance.yahoo.com/markets/stocks/articles/alphabet-spend-much-205-billion-083200018.html" TargetMode="External"/><Relationship Id="rId11" Type="http://schemas.openxmlformats.org/officeDocument/2006/relationships/hyperlink" Target="https://www.federalreserve.gov/econres/feds/files/2025045pap.pdf" TargetMode="External"/><Relationship Id="rId32" Type="http://schemas.openxmlformats.org/officeDocument/2006/relationships/hyperlink" Target="https://www.reuters.com/world/china/selling-grips-bond-markets-us-japan-inflation-fiscal-worries-take-hold-2026-08-18/" TargetMode="External"/><Relationship Id="rId37" Type="http://schemas.openxmlformats.org/officeDocument/2006/relationships/hyperlink" Target="https://fred.stlouisfed.org/series/THREEFYTP10" TargetMode="External"/><Relationship Id="rId53" Type="http://schemas.openxmlformats.org/officeDocument/2006/relationships/hyperlink" Target="https://www.jchs.harvard.edu/state-nations-housing-2026" TargetMode="External"/><Relationship Id="rId58" Type="http://schemas.openxmlformats.org/officeDocument/2006/relationships/hyperlink" Target="https://www.scotsmanguide.com/news/mba-raises-rate-forecast-slashes-refinance-outlook/" TargetMode="External"/><Relationship Id="rId74" Type="http://schemas.openxmlformats.org/officeDocument/2006/relationships/hyperlink" Target="https://www.bls.gov/news.release/cpi.t02.htm" TargetMode="External"/><Relationship Id="rId79" Type="http://schemas.openxmlformats.org/officeDocument/2006/relationships/hyperlink" Target="https://www.census.gov/retail/mrts/www/mrtssales92-present.xlsx" TargetMode="External"/><Relationship Id="rId5" Type="http://schemas.openxmlformats.org/officeDocument/2006/relationships/hyperlink" Target="https://www.dallasfed.org/research/economics/2026/0210-searls-aifinancing" TargetMode="External"/><Relationship Id="rId90" Type="http://schemas.openxmlformats.org/officeDocument/2006/relationships/hyperlink" Target="https://www.fhfa.gov/research/papers/wp2403" TargetMode="External"/><Relationship Id="rId14" Type="http://schemas.openxmlformats.org/officeDocument/2006/relationships/hyperlink" Target="https://www.cnbc.com/amp/2026/07/30/amazon-amzn-q2-earnings-report-2026.html" TargetMode="External"/><Relationship Id="rId22" Type="http://schemas.openxmlformats.org/officeDocument/2006/relationships/hyperlink" Target="https://www.bloomberg.com/news/articles/2025-10-30/meta-sets-bond-sale-at-30-billion-biggest-offering-of-the-year" TargetMode="External"/><Relationship Id="rId27" Type="http://schemas.openxmlformats.org/officeDocument/2006/relationships/hyperlink" Target="https://finance.yahoo.com/news/moody-flags-662-billion-risk-081000616.html" TargetMode="External"/><Relationship Id="rId30" Type="http://schemas.openxmlformats.org/officeDocument/2006/relationships/hyperlink" Target="https://www.imf.org/-/media/files/publications/gfsr/2026/april/english/ch1.pdf" TargetMode="External"/><Relationship Id="rId35" Type="http://schemas.openxmlformats.org/officeDocument/2006/relationships/hyperlink" Target="https://www.brookings.edu/articles/whos-buying-u-s-treasury-debt-and-why/" TargetMode="External"/><Relationship Id="rId43" Type="http://schemas.openxmlformats.org/officeDocument/2006/relationships/hyperlink" Target="https://www.newyorkfed.org/research/staff_reports/sr674.html" TargetMode="External"/><Relationship Id="rId48" Type="http://schemas.openxmlformats.org/officeDocument/2006/relationships/hyperlink" Target="https://www.nar.realtor/newsroom/nar-existing-home-sales-report-shows-1-7-decrease-in-july" TargetMode="External"/><Relationship Id="rId56" Type="http://schemas.openxmlformats.org/officeDocument/2006/relationships/hyperlink" Target="https://www.nar.realtor/newsroom/nar-chief-economist-lawrence-yun-says-home-sales-expected-to-improve-in-second-half-of-2026" TargetMode="External"/><Relationship Id="rId64" Type="http://schemas.openxmlformats.org/officeDocument/2006/relationships/hyperlink" Target="https://fred.stlouisfed.org/series/DFFFRC1A027NBEA" TargetMode="External"/><Relationship Id="rId69" Type="http://schemas.openxmlformats.org/officeDocument/2006/relationships/hyperlink" Target="https://www.williamblair.com/-/media/downloads/eqr/2025/williamblair_furniture-home-renovations-post-pandemic-normalization.pdf" TargetMode="External"/><Relationship Id="rId77" Type="http://schemas.openxmlformats.org/officeDocument/2006/relationships/hyperlink" Target="https://www.jchs.harvard.edu/blog/remodeling-spending-poised-further-slowdown" TargetMode="External"/><Relationship Id="rId8" Type="http://schemas.openxmlformats.org/officeDocument/2006/relationships/hyperlink" Target="https://fred.stlouisfed.org/series/MORTGAGE30US" TargetMode="External"/><Relationship Id="rId51" Type="http://schemas.openxmlformats.org/officeDocument/2006/relationships/hyperlink" Target="https://www.census.gov/construction/nrs/pdf/newressales.pdf" TargetMode="External"/><Relationship Id="rId72" Type="http://schemas.openxmlformats.org/officeDocument/2006/relationships/hyperlink" Target="https://content.govdelivery.com/accounts/USDHSCBP/bulletins/3f69699" TargetMode="External"/><Relationship Id="rId80" Type="http://schemas.openxmlformats.org/officeDocument/2006/relationships/hyperlink" Target="https://www.federalreserve.gov/econres/feds/files/2025045pap.pdf" TargetMode="External"/><Relationship Id="rId85" Type="http://schemas.openxmlformats.org/officeDocument/2006/relationships/hyperlink" Target="https://eyeonhousing.org/2026/07/what-do-home-buyers-purchase-after-they-move-in/" TargetMode="External"/><Relationship Id="rId3" Type="http://schemas.openxmlformats.org/officeDocument/2006/relationships/hyperlink" Target="https://www.reuters.com/legal/transactional/us-corporate-ai-debt-surge-tests-investor-limits-fatigue-emerges-2026-08-21/" TargetMode="External"/><Relationship Id="rId12" Type="http://schemas.openxmlformats.org/officeDocument/2006/relationships/hyperlink" Target="https://eyeonhousing.org/2026/07/what-do-home-buyers-purchase-after-they-move-in/" TargetMode="External"/><Relationship Id="rId17" Type="http://schemas.openxmlformats.org/officeDocument/2006/relationships/hyperlink" Target="https://finance.yahoo.com/technology/ai/articles/meta-narrows-annual-capex-forecast-200500213.html" TargetMode="External"/><Relationship Id="rId25" Type="http://schemas.openxmlformats.org/officeDocument/2006/relationships/hyperlink" Target="https://www.ifre.com/bonds/2397565/amazon-makes-market-history-with-largest-corporate-bond-sale-ever" TargetMode="External"/><Relationship Id="rId33" Type="http://schemas.openxmlformats.org/officeDocument/2006/relationships/hyperlink" Target="https://www.cbo.gov/publication/61882" TargetMode="External"/><Relationship Id="rId38" Type="http://schemas.openxmlformats.org/officeDocument/2006/relationships/hyperlink" Target="https://www.federalreserve.gov/newsevents/pressreleases/monetary20251029a.htm" TargetMode="External"/><Relationship Id="rId46" Type="http://schemas.openxmlformats.org/officeDocument/2006/relationships/hyperlink" Target="https://fred.stlouisfed.org/series/MORTGAGE30US" TargetMode="External"/><Relationship Id="rId59" Type="http://schemas.openxmlformats.org/officeDocument/2006/relationships/hyperlink" Target="https://www.census.gov/construction/nrc/pdf/newresconst.pdf" TargetMode="External"/><Relationship Id="rId67" Type="http://schemas.openxmlformats.org/officeDocument/2006/relationships/hyperlink" Target="https://www.jchs.harvard.edu/sites/jchs.harvard.edu/files/son2009_bw_housing_markets.pdf" TargetMode="External"/><Relationship Id="rId20" Type="http://schemas.openxmlformats.org/officeDocument/2006/relationships/hyperlink" Target="https://www.mckinsey.com/industries/technology-media-and-telecommunications/our-insights/the-cost-of-compute-a-7-trillion-dollar-race-to-scale-data-centers" TargetMode="External"/><Relationship Id="rId41" Type="http://schemas.openxmlformats.org/officeDocument/2006/relationships/hyperlink" Target="https://www.reuters.com/commentary/reuters-open-interest/dont-blame-us-bond-market-indigestion-ai-debt-binge-mcgeever-2026-08-19/" TargetMode="External"/><Relationship Id="rId54" Type="http://schemas.openxmlformats.org/officeDocument/2006/relationships/hyperlink" Target="https://www.fanniemae.com/media/58011/display" TargetMode="External"/><Relationship Id="rId62" Type="http://schemas.openxmlformats.org/officeDocument/2006/relationships/hyperlink" Target="https://www.federalreserve.gov/econres/feds/files/2025045pap.pdf" TargetMode="External"/><Relationship Id="rId70" Type="http://schemas.openxmlformats.org/officeDocument/2006/relationships/hyperlink" Target="https://www.census.gov/retail/mrts/www/mrtssales92-present.xlsx" TargetMode="External"/><Relationship Id="rId75" Type="http://schemas.openxmlformats.org/officeDocument/2006/relationships/hyperlink" Target="https://www.zelmanassociates.com/resources/zelman-insights/2026-02-(1)/furniture-demand-faces-the-elasticity-test,-but-ho" TargetMode="External"/><Relationship Id="rId83" Type="http://schemas.openxmlformats.org/officeDocument/2006/relationships/hyperlink" Target="https://www.nar.realtor/research-and-statistics/housing-statistics/existing-home-sales" TargetMode="External"/><Relationship Id="rId88" Type="http://schemas.openxmlformats.org/officeDocument/2006/relationships/hyperlink" Target="https://www.cbo.gov/publication/61882" TargetMode="External"/><Relationship Id="rId91" Type="http://schemas.openxmlformats.org/officeDocument/2006/relationships/hyperlink" Target="https://www.federalreserve.gov/econres/feds/files/2025045pap.pdf" TargetMode="External"/><Relationship Id="rId1" Type="http://schemas.openxmlformats.org/officeDocument/2006/relationships/hyperlink" Target="https://www.cnbc.com/2026/02/06/google-microsoft-meta-amazon-ai-cash.html" TargetMode="External"/><Relationship Id="rId6" Type="http://schemas.openxmlformats.org/officeDocument/2006/relationships/hyperlink" Target="https://fred.stlouisfed.org/series/DGS10" TargetMode="External"/><Relationship Id="rId15" Type="http://schemas.openxmlformats.org/officeDocument/2006/relationships/hyperlink" Target="https://finance.yahoo.com/markets/stocks/articles/microsoft-plans-190-billion-capital-214300784.html" TargetMode="External"/><Relationship Id="rId23" Type="http://schemas.openxmlformats.org/officeDocument/2006/relationships/hyperlink" Target="https://www.reuters.com/business/oracle-looks-raise-15-billion-bond-sales-bloomberg-news-reports-2025-09-24/" TargetMode="External"/><Relationship Id="rId28" Type="http://schemas.openxmlformats.org/officeDocument/2006/relationships/hyperlink" Target="https://www.bis.org/publ/qtrpdf/r_qt2603u.htm" TargetMode="External"/><Relationship Id="rId36" Type="http://schemas.openxmlformats.org/officeDocument/2006/relationships/hyperlink" Target="https://www.newyorkfed.org/research/data_indicators/term-premia-tabs" TargetMode="External"/><Relationship Id="rId49" Type="http://schemas.openxmlformats.org/officeDocument/2006/relationships/hyperlink" Target="https://www.nar.realtor/research-and-statistics/housing-statistics/existing-home-sales" TargetMode="External"/><Relationship Id="rId57" Type="http://schemas.openxmlformats.org/officeDocument/2006/relationships/hyperlink" Target="https://www.fanniemae.com/media/58011/display" TargetMode="External"/><Relationship Id="rId10" Type="http://schemas.openxmlformats.org/officeDocument/2006/relationships/hyperlink" Target="https://www.nar.realtor/newsroom/nar-existing-home-sales-report-shows-1-7-decrease-in-july" TargetMode="External"/><Relationship Id="rId31" Type="http://schemas.openxmlformats.org/officeDocument/2006/relationships/hyperlink" Target="https://fred.stlouisfed.org/series/DGS10" TargetMode="External"/><Relationship Id="rId44" Type="http://schemas.openxmlformats.org/officeDocument/2006/relationships/hyperlink" Target="https://fred.stlouisfed.org/series/MORTGAGE30US" TargetMode="External"/><Relationship Id="rId52" Type="http://schemas.openxmlformats.org/officeDocument/2006/relationships/hyperlink" Target="https://www.fhfa.gov/research/papers/wp2403" TargetMode="External"/><Relationship Id="rId60" Type="http://schemas.openxmlformats.org/officeDocument/2006/relationships/hyperlink" Target="https://www.nytimes.com/2026/04/09/business/furniture-stores-housing-market-crisis.html" TargetMode="External"/><Relationship Id="rId65" Type="http://schemas.openxmlformats.org/officeDocument/2006/relationships/hyperlink" Target="https://eyeonhousing.org/2026/07/what-do-home-buyers-purchase-after-they-move-in/" TargetMode="External"/><Relationship Id="rId73" Type="http://schemas.openxmlformats.org/officeDocument/2006/relationships/hyperlink" Target="https://www.strtrade.com/trade-news-resources/str-trade-report/trade-report/january/tariff-increase-delayed-on-furniture-kitchen-cabinets-vanities" TargetMode="External"/><Relationship Id="rId78" Type="http://schemas.openxmlformats.org/officeDocument/2006/relationships/hyperlink" Target="https://www.jchs.harvard.edu/sites/jchs.harvard.edu/files/son2009_bw_housing_markets.pdf" TargetMode="External"/><Relationship Id="rId81" Type="http://schemas.openxmlformats.org/officeDocument/2006/relationships/hyperlink" Target="https://www.zelmanassociates.com/resources/zelman-insights/2026-02-(1)/furniture-demand-faces-the-elasticity-test,-but-ho" TargetMode="External"/><Relationship Id="rId86" Type="http://schemas.openxmlformats.org/officeDocument/2006/relationships/hyperlink" Target="https://www.strtrade.com/trade-news-resources/str-trade-report/trade-report/january/tariff-increase-delayed-on-furniture-kitchen-cabinets-vanities" TargetMode="External"/><Relationship Id="rId4" Type="http://schemas.openxmlformats.org/officeDocument/2006/relationships/hyperlink" Target="https://www.ifre.com/bonds/2397565/amazon-makes-market-history-with-largest-corporate-bond-sale-ever" TargetMode="External"/><Relationship Id="rId9" Type="http://schemas.openxmlformats.org/officeDocument/2006/relationships/hyperlink" Target="https://www.fhfa.gov/research/papers/wp2403" TargetMode="External"/><Relationship Id="rId13" Type="http://schemas.openxmlformats.org/officeDocument/2006/relationships/hyperlink" Target="https://www.dallasfed.org/research/economics/2026/0210-searls-aifinancing" TargetMode="External"/><Relationship Id="rId18" Type="http://schemas.openxmlformats.org/officeDocument/2006/relationships/hyperlink" Target="https://www.cnbc.com/2026/02/06/google-microsoft-meta-amazon-ai-cash.html" TargetMode="External"/><Relationship Id="rId39" Type="http://schemas.openxmlformats.org/officeDocument/2006/relationships/hyperlink" Target="https://www.dallasfed.org/research/economics/2026/0210-searls-aifinancing" TargetMode="External"/><Relationship Id="rId34" Type="http://schemas.openxmlformats.org/officeDocument/2006/relationships/hyperlink" Target="https://www.sifma.org/research/statistics/us-treasury-securities-statistics" TargetMode="External"/><Relationship Id="rId50" Type="http://schemas.openxmlformats.org/officeDocument/2006/relationships/hyperlink" Target="https://www.census.gov/construction/nrc/pdf/newresconst.pdf" TargetMode="External"/><Relationship Id="rId55" Type="http://schemas.openxmlformats.org/officeDocument/2006/relationships/hyperlink" Target="https://www.scotsmanguide.com/news/mba-raises-rate-forecast-slashes-refinance-outlook/" TargetMode="External"/><Relationship Id="rId76" Type="http://schemas.openxmlformats.org/officeDocument/2006/relationships/hyperlink" Target="https://www.smith-leonard.com/2026/08/06/july-2026-furniture-insights/" TargetMode="External"/><Relationship Id="rId7" Type="http://schemas.openxmlformats.org/officeDocument/2006/relationships/hyperlink" Target="https://www.cbo.gov/publication/61882" TargetMode="External"/><Relationship Id="rId71" Type="http://schemas.openxmlformats.org/officeDocument/2006/relationships/hyperlink" Target="https://www.census.gov/retail/marts/www/marts_current.pdf" TargetMode="External"/><Relationship Id="rId2" Type="http://schemas.openxmlformats.org/officeDocument/2006/relationships/hyperlink" Target="https://www.latimes.com/business/story/2026-01-12/data-centers-will-need-3-trillion-through-2030-moodys-says" TargetMode="External"/><Relationship Id="rId29" Type="http://schemas.openxmlformats.org/officeDocument/2006/relationships/hyperlink" Target="https://www.bis.org/publ/bisbull120.pdf" TargetMode="External"/><Relationship Id="rId24" Type="http://schemas.openxmlformats.org/officeDocument/2006/relationships/hyperlink" Target="https://www.cnbc.com/2026/02/06/google-microsoft-meta-amazon-ai-cash.html" TargetMode="External"/><Relationship Id="rId40" Type="http://schemas.openxmlformats.org/officeDocument/2006/relationships/hyperlink" Target="https://www.reuters.com/commentary/reuters-open-interest/dont-blame-us-bond-market-indigestion-ai-debt-binge-mcgeever-2026-08-19/" TargetMode="External"/><Relationship Id="rId45" Type="http://schemas.openxmlformats.org/officeDocument/2006/relationships/hyperlink" Target="https://fred.stlouisfed.org/series/DGS10" TargetMode="External"/><Relationship Id="rId66" Type="http://schemas.openxmlformats.org/officeDocument/2006/relationships/hyperlink" Target="https://www.federalreserve.gov/econres/feds/files/2025045pap.pdf" TargetMode="External"/><Relationship Id="rId87" Type="http://schemas.openxmlformats.org/officeDocument/2006/relationships/hyperlink" Target="https://www.zelmanassociates.com/resources/zelman-insights/2026-02-(1)/furniture-demand-faces-the-elasticity-test,-but-ho" TargetMode="External"/><Relationship Id="rId61" Type="http://schemas.openxmlformats.org/officeDocument/2006/relationships/hyperlink" Target="https://eyeonhousing.org/2026/07/what-do-home-buyers-purchase-after-they-move-in/" TargetMode="External"/><Relationship Id="rId82" Type="http://schemas.openxmlformats.org/officeDocument/2006/relationships/hyperlink" Target="https://www.census.gov/retail/marts/www/marts_current.pdf" TargetMode="External"/><Relationship Id="rId19" Type="http://schemas.openxmlformats.org/officeDocument/2006/relationships/hyperlink" Target="https://www.latimes.com/business/story/2026-01-12/data-centers-will-need-3-trillion-through-2030-moodys-s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3206</Words>
  <Characters>18278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Compute, Credit, and Couches</vt:lpstr>
    </vt:vector>
  </TitlesOfParts>
  <Company/>
  <LinksUpToDate>false</LinksUpToDate>
  <CharactersWithSpaces>21442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Compute, Credit, and Couches</dc:title>
  <dc:creator>Research Briefing</dc:creator>
  <cp:lastModifiedBy>Doug Wright</cp:lastModifiedBy>
  <cp:revision>2</cp:revision>
  <dcterms:created xsi:type="dcterms:W3CDTF">2026-08-25T14:35:00Z</dcterms:created>
  <dcterms:modified xsi:type="dcterms:W3CDTF">2026-08-25T14:35:00Z</dcterms:modified>
</cp:coreProperties>
</file>