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937CE" w14:textId="77777777" w:rsidR="006D649A" w:rsidRDefault="00000000">
      <w:pPr>
        <w:pStyle w:val="Ttulo"/>
        <w:spacing w:after="120"/>
      </w:pPr>
      <w:r>
        <w:t>Análise de Planilhas</w:t>
      </w:r>
    </w:p>
    <w:p w14:paraId="64BEBD90" w14:textId="77777777" w:rsidR="006D649A" w:rsidRDefault="00000000">
      <w:pPr>
        <w:spacing w:after="200"/>
      </w:pPr>
      <w:r>
        <w:rPr>
          <w:i/>
          <w:color w:val="6A7369"/>
        </w:rPr>
        <w:t xml:space="preserve">HUNF e Contas </w:t>
      </w:r>
      <w:proofErr w:type="gramStart"/>
      <w:r>
        <w:rPr>
          <w:i/>
          <w:color w:val="6A7369"/>
        </w:rPr>
        <w:t>Convênio  ·</w:t>
      </w:r>
      <w:proofErr w:type="gramEnd"/>
      <w:r>
        <w:rPr>
          <w:i/>
          <w:color w:val="6A7369"/>
        </w:rPr>
        <w:t xml:space="preserve">  Automação da análise de planilhas dos setores, com dashboards — sem necessidade de I.A.</w:t>
      </w:r>
    </w:p>
    <w:p w14:paraId="047B3474" w14:textId="77777777" w:rsidR="006D649A" w:rsidRDefault="00000000">
      <w:pPr>
        <w:shd w:val="clear" w:color="auto" w:fill="E6EFE9"/>
        <w:spacing w:after="160"/>
        <w:ind w:left="120"/>
      </w:pPr>
      <w:r>
        <w:rPr>
          <w:b/>
          <w:color w:val="0A3B2A"/>
        </w:rPr>
        <w:t xml:space="preserve">Situação atual: </w:t>
      </w:r>
      <w:r>
        <w:t xml:space="preserve">as planilhas e os resultados apresentados neste documento estão </w:t>
      </w:r>
      <w:r>
        <w:rPr>
          <w:b/>
        </w:rPr>
        <w:t>em análise pelo setor</w:t>
      </w:r>
      <w:r>
        <w:t>, para validação dos números e das regras antes da adoção.</w:t>
      </w:r>
    </w:p>
    <w:p w14:paraId="0597F247" w14:textId="77777777" w:rsidR="006D649A" w:rsidRDefault="00000000">
      <w:pPr>
        <w:pStyle w:val="Ttulo1"/>
      </w:pPr>
      <w:r>
        <w:t>A ideia e o objetivo</w:t>
      </w:r>
    </w:p>
    <w:p w14:paraId="313640BF" w14:textId="77777777" w:rsidR="006D649A" w:rsidRDefault="00000000">
      <w:r>
        <w:t xml:space="preserve">O programa lê as planilhas que cada setor já usa — Excel, LibreOffice ou CSV — </w:t>
      </w:r>
      <w:r>
        <w:rPr>
          <w:b/>
        </w:rPr>
        <w:t>do jeito que estão</w:t>
      </w:r>
      <w:r>
        <w:t>, entende a estrutura e entrega indicadores de gestão, dashboards e um relatório pronto.</w:t>
      </w:r>
    </w:p>
    <w:p w14:paraId="095EA6A6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rPr>
          <w:b/>
        </w:rPr>
        <w:t>Objetivo: automatizar o processo de análise das planilhas dos setores</w:t>
      </w:r>
      <w:r>
        <w:t>, trocando a conferência manual por relatórios padronizados e dashboards prontos.</w:t>
      </w:r>
    </w:p>
    <w:p w14:paraId="0F2BD7D1" w14:textId="77777777" w:rsidR="006D649A" w:rsidRDefault="00000000">
      <w:pPr>
        <w:ind w:left="360" w:hanging="360"/>
      </w:pPr>
      <w:r>
        <w:rPr>
          <w:b/>
          <w:color w:val="0A6B47"/>
        </w:rPr>
        <w:t>•  Sem inteligência artificial</w:t>
      </w:r>
      <w:r>
        <w:t>: a análise é determinística, baseada em regras e modelos de configuração — os mesmos dados geram sempre os mesmos números, de forma auditável e reproduzível.</w:t>
      </w:r>
    </w:p>
    <w:p w14:paraId="20033888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t xml:space="preserve">Há um </w:t>
      </w:r>
      <w:r>
        <w:rPr>
          <w:i/>
        </w:rPr>
        <w:t>“Modo I.A” opcional e desligado por padrão</w:t>
      </w:r>
      <w:r>
        <w:t xml:space="preserve"> — não é necessário para a análise.</w:t>
      </w:r>
    </w:p>
    <w:p w14:paraId="369C7773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t xml:space="preserve">Roda no próprio computador; </w:t>
      </w:r>
      <w:r>
        <w:rPr>
          <w:b/>
        </w:rPr>
        <w:t>nenhum dado sai para a internet (LGPD)</w:t>
      </w:r>
      <w:r>
        <w:t>.</w:t>
      </w:r>
    </w:p>
    <w:p w14:paraId="2B9F398A" w14:textId="77777777" w:rsidR="006D649A" w:rsidRDefault="00000000">
      <w:pPr>
        <w:pStyle w:val="Ttulo1"/>
      </w:pPr>
      <w:r>
        <w:t>A interface</w:t>
      </w:r>
    </w:p>
    <w:p w14:paraId="166F36E8" w14:textId="77777777" w:rsidR="006D649A" w:rsidRDefault="00000000">
      <w:r>
        <w:t>Mesma tela para todos os relatórios, sempre com tema claro e leitura fácil. Quatro passos:</w:t>
      </w:r>
    </w:p>
    <w:p w14:paraId="439A189B" w14:textId="77777777" w:rsidR="006D649A" w:rsidRDefault="00000000">
      <w:pPr>
        <w:ind w:left="360" w:hanging="360"/>
      </w:pPr>
      <w:r>
        <w:rPr>
          <w:b/>
          <w:color w:val="0A6B47"/>
        </w:rPr>
        <w:t>•  Escolher</w:t>
      </w:r>
      <w:r>
        <w:t xml:space="preserve"> — Pasta › Relatório › Página: navega entre os relatórios e as abas da planilha.</w:t>
      </w:r>
    </w:p>
    <w:p w14:paraId="09AEC03D" w14:textId="77777777" w:rsidR="006D649A" w:rsidRDefault="00000000">
      <w:pPr>
        <w:ind w:left="360" w:hanging="360"/>
      </w:pPr>
      <w:r>
        <w:rPr>
          <w:b/>
          <w:color w:val="0A6B47"/>
        </w:rPr>
        <w:t>•  Filtrar</w:t>
      </w:r>
      <w:r>
        <w:t xml:space="preserve"> — por período (de/até) e por dimensão (convênio, grupo, status…); busca que realça na tela.</w:t>
      </w:r>
    </w:p>
    <w:p w14:paraId="1011940B" w14:textId="77777777" w:rsidR="006D649A" w:rsidRDefault="00000000">
      <w:pPr>
        <w:ind w:left="360" w:hanging="360"/>
      </w:pPr>
      <w:r>
        <w:rPr>
          <w:b/>
          <w:color w:val="0A6B47"/>
        </w:rPr>
        <w:t>•  Metas</w:t>
      </w:r>
      <w:r>
        <w:t xml:space="preserve"> — define as metas do gestor; o resumo marca cada uma com ✔ ou ✗.</w:t>
      </w:r>
    </w:p>
    <w:p w14:paraId="0D692019" w14:textId="77777777" w:rsidR="006D649A" w:rsidRDefault="00000000">
      <w:pPr>
        <w:ind w:left="360" w:hanging="360"/>
      </w:pPr>
      <w:r>
        <w:rPr>
          <w:b/>
          <w:color w:val="0A6B47"/>
        </w:rPr>
        <w:t>•  Gerar HTML</w:t>
      </w:r>
      <w:r>
        <w:t xml:space="preserve"> — um clique e sai o relatório pronto para apresentar, imprimir ou arquivar.</w:t>
      </w:r>
    </w:p>
    <w:p w14:paraId="1501181B" w14:textId="77777777" w:rsidR="006D649A" w:rsidRDefault="00000000">
      <w:pPr>
        <w:pStyle w:val="Ttulo1"/>
      </w:pPr>
      <w:r>
        <w:t>O relatório gerado</w:t>
      </w:r>
    </w:p>
    <w:p w14:paraId="6606800D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rPr>
          <w:b/>
        </w:rPr>
        <w:t>Autocontido e offline</w:t>
      </w:r>
      <w:r>
        <w:t xml:space="preserve"> — abre em qualquer navegador, sem internet, e vira PDF ao imprimir.</w:t>
      </w:r>
    </w:p>
    <w:p w14:paraId="226B4E10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rPr>
          <w:b/>
        </w:rPr>
        <w:t>Dashboards e gráficos</w:t>
      </w:r>
      <w:r>
        <w:t>, com tema claro/escuro no próprio relatório.</w:t>
      </w:r>
    </w:p>
    <w:p w14:paraId="099E7F67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rPr>
          <w:b/>
        </w:rPr>
        <w:t>Filtro de período embutido</w:t>
      </w:r>
      <w:r>
        <w:t xml:space="preserve"> — troca entre Todo o período, cada ano e Últimos 12 meses, sem recalcular.</w:t>
      </w:r>
    </w:p>
    <w:p w14:paraId="208A3FC0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rPr>
          <w:b/>
        </w:rPr>
        <w:t>Confere com a planilha</w:t>
      </w:r>
      <w:r>
        <w:t xml:space="preserve"> — a soma das contas bate com os totais da própria planilha; nada é inventado.</w:t>
      </w:r>
    </w:p>
    <w:p w14:paraId="012191B5" w14:textId="77777777" w:rsidR="00E0410F" w:rsidRDefault="00E0410F">
      <w:pPr>
        <w:ind w:left="360" w:hanging="360"/>
      </w:pPr>
    </w:p>
    <w:p w14:paraId="3E6C3068" w14:textId="77777777" w:rsidR="00E0410F" w:rsidRDefault="00E0410F">
      <w:pPr>
        <w:ind w:left="360" w:hanging="360"/>
      </w:pPr>
    </w:p>
    <w:p w14:paraId="72BC7E77" w14:textId="77777777" w:rsidR="006D649A" w:rsidRDefault="00000000">
      <w:pPr>
        <w:pStyle w:val="Ttulo1"/>
      </w:pPr>
      <w:r>
        <w:lastRenderedPageBreak/>
        <w:t>Resultados — Contas Convênio</w:t>
      </w:r>
    </w:p>
    <w:p w14:paraId="444C93A4" w14:textId="77777777" w:rsidR="006D649A" w:rsidRDefault="00000000">
      <w:r>
        <w:t xml:space="preserve">Um relatório hospitalar </w:t>
      </w:r>
      <w:r>
        <w:rPr>
          <w:b/>
        </w:rPr>
        <w:t>em blocos</w:t>
      </w:r>
      <w:r>
        <w:t xml:space="preserve"> (uma página por atendimento) vira uma tabela limpa, com os indicadores já calculados.</w:t>
      </w:r>
    </w:p>
    <w:p w14:paraId="48C8D085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rPr>
          <w:b/>
        </w:rPr>
        <w:t>183 atendimentos</w:t>
      </w:r>
      <w:r>
        <w:t xml:space="preserve"> (2025 + 2026) consolidados.</w:t>
      </w:r>
    </w:p>
    <w:p w14:paraId="5AF46544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t>Duas páginas: Atendimentos e Resumo Cesariana (17 pacientes, 2025).</w:t>
      </w:r>
    </w:p>
    <w:p w14:paraId="6CDDD192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t xml:space="preserve">Separa o que o sistema </w:t>
      </w:r>
      <w:r>
        <w:rPr>
          <w:b/>
        </w:rPr>
        <w:t>faturou (bruto)</w:t>
      </w:r>
      <w:r>
        <w:t xml:space="preserve"> do que foi </w:t>
      </w:r>
      <w:r>
        <w:rPr>
          <w:b/>
        </w:rPr>
        <w:t>apurado (custo e resultado)</w:t>
      </w:r>
      <w:r>
        <w:t>.</w:t>
      </w:r>
    </w:p>
    <w:p w14:paraId="14BDAF26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t xml:space="preserve">Aponta uma decisão para a área: o custo da cesariana </w:t>
      </w:r>
      <w:r>
        <w:rPr>
          <w:b/>
          <w:color w:val="B4521F"/>
        </w:rPr>
        <w:t>diverge</w:t>
      </w:r>
      <w:r>
        <w:t xml:space="preserve"> entre as duas visões — qual é o oficial?</w:t>
      </w:r>
    </w:p>
    <w:p w14:paraId="4BF507DD" w14:textId="77777777" w:rsidR="006D649A" w:rsidRDefault="00000000">
      <w:pPr>
        <w:pStyle w:val="Ttulo1"/>
      </w:pPr>
      <w:r>
        <w:t>Resultados — HUNF (planilha financeira)</w:t>
      </w:r>
    </w:p>
    <w:p w14:paraId="123B98EE" w14:textId="77777777" w:rsidR="006D649A" w:rsidRDefault="00000000">
      <w:r>
        <w:t xml:space="preserve">Uma planilha em </w:t>
      </w:r>
      <w:r>
        <w:rPr>
          <w:b/>
        </w:rPr>
        <w:t>matriz conta × mês</w:t>
      </w:r>
      <w:r>
        <w:t xml:space="preserve"> virou três relatórios, com base a partir de </w:t>
      </w:r>
      <w:proofErr w:type="spellStart"/>
      <w:r>
        <w:t>jan</w:t>
      </w:r>
      <w:proofErr w:type="spellEnd"/>
      <w:r>
        <w:t>/2024. Os sete blocos de custo batem, centavo a centavo, com os subtotais da planilha.</w:t>
      </w:r>
    </w:p>
    <w:tbl>
      <w:tblPr>
        <w:tblW w:w="0" w:type="auto"/>
        <w:tblInd w:w="110" w:type="dxa"/>
        <w:tblBorders>
          <w:top w:val="single" w:sz="4" w:space="0" w:color="D8DED6"/>
          <w:left w:val="single" w:sz="4" w:space="0" w:color="D8DED6"/>
          <w:bottom w:val="single" w:sz="4" w:space="0" w:color="D8DED6"/>
          <w:right w:val="single" w:sz="4" w:space="0" w:color="D8DED6"/>
          <w:insideH w:val="single" w:sz="4" w:space="0" w:color="D8DED6"/>
          <w:insideV w:val="single" w:sz="4" w:space="0" w:color="D8DE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6D649A" w14:paraId="71810C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4A3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6AEAB" w14:textId="77777777" w:rsidR="006D649A" w:rsidRDefault="00000000">
            <w:pPr>
              <w:spacing w:after="0"/>
            </w:pPr>
            <w:r>
              <w:rPr>
                <w:b/>
                <w:color w:val="FFFFFF"/>
              </w:rPr>
              <w:t>Relatório</w:t>
            </w:r>
          </w:p>
        </w:tc>
        <w:tc>
          <w:tcPr>
            <w:tcW w:w="2200" w:type="dxa"/>
            <w:shd w:val="clear" w:color="auto" w:fill="0F4A3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477F2E" w14:textId="77777777" w:rsidR="006D649A" w:rsidRDefault="00000000">
            <w:pPr>
              <w:spacing w:after="0"/>
            </w:pPr>
            <w:r>
              <w:rPr>
                <w:b/>
                <w:color w:val="FFFFFF"/>
              </w:rPr>
              <w:t>Resultado</w:t>
            </w:r>
          </w:p>
        </w:tc>
        <w:tc>
          <w:tcPr>
            <w:tcW w:w="4626" w:type="dxa"/>
            <w:shd w:val="clear" w:color="auto" w:fill="0F4A3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6F63C" w14:textId="77777777" w:rsidR="006D649A" w:rsidRDefault="00000000">
            <w:pPr>
              <w:spacing w:after="0"/>
            </w:pPr>
            <w:r>
              <w:rPr>
                <w:b/>
                <w:color w:val="FFFFFF"/>
              </w:rPr>
              <w:t>Observação</w:t>
            </w:r>
          </w:p>
        </w:tc>
      </w:tr>
      <w:tr w:rsidR="006D649A" w14:paraId="02484F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BDE767" w14:textId="77777777" w:rsidR="006D649A" w:rsidRDefault="00000000">
            <w:pPr>
              <w:spacing w:after="0"/>
            </w:pPr>
            <w:r>
              <w:rPr>
                <w:b/>
              </w:rPr>
              <w:t>Faturamento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35A52" w14:textId="77777777" w:rsidR="006D649A" w:rsidRDefault="00000000">
            <w:pPr>
              <w:spacing w:after="0"/>
            </w:pPr>
            <w:r>
              <w:rPr>
                <w:b/>
              </w:rPr>
              <w:t>R$ 659,6 mi</w:t>
            </w:r>
          </w:p>
        </w:tc>
        <w:tc>
          <w:tcPr>
            <w:tcW w:w="4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8CD807" w14:textId="77777777" w:rsidR="006D649A" w:rsidRDefault="00000000">
            <w:pPr>
              <w:spacing w:after="0"/>
            </w:pPr>
            <w:r>
              <w:t>receita por convênio · média de R$ 20,0 mi/mês</w:t>
            </w:r>
          </w:p>
        </w:tc>
      </w:tr>
      <w:tr w:rsidR="006D649A" w14:paraId="7D48CC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0C61C9" w14:textId="77777777" w:rsidR="006D649A" w:rsidRDefault="00000000">
            <w:pPr>
              <w:spacing w:after="0"/>
            </w:pPr>
            <w:r>
              <w:rPr>
                <w:b/>
              </w:rPr>
              <w:t>Custos</w:t>
            </w:r>
          </w:p>
        </w:tc>
        <w:tc>
          <w:tcPr>
            <w:tcW w:w="2200" w:type="dxa"/>
            <w:shd w:val="clear" w:color="auto" w:fill="F2F5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10363D" w14:textId="77777777" w:rsidR="006D649A" w:rsidRDefault="00000000">
            <w:pPr>
              <w:spacing w:after="0"/>
            </w:pPr>
            <w:r>
              <w:rPr>
                <w:b/>
              </w:rPr>
              <w:t>R$ 446,2 mi</w:t>
            </w:r>
          </w:p>
        </w:tc>
        <w:tc>
          <w:tcPr>
            <w:tcW w:w="4626" w:type="dxa"/>
            <w:shd w:val="clear" w:color="auto" w:fill="F2F5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FD80F4" w14:textId="77777777" w:rsidR="006D649A" w:rsidRDefault="00000000">
            <w:pPr>
              <w:spacing w:after="0"/>
            </w:pPr>
            <w:r>
              <w:t>por conta e grupo · média de R$ 14,4 mi/mês · +21,7% nos últimos 12 meses</w:t>
            </w:r>
          </w:p>
        </w:tc>
      </w:tr>
      <w:tr w:rsidR="006D649A" w14:paraId="6B83E7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D4B658" w14:textId="77777777" w:rsidR="006D649A" w:rsidRDefault="00000000">
            <w:pPr>
              <w:spacing w:after="0"/>
            </w:pPr>
            <w:r>
              <w:rPr>
                <w:b/>
              </w:rPr>
              <w:t>DRE</w:t>
            </w:r>
          </w:p>
        </w:tc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42E67" w14:textId="77777777" w:rsidR="006D649A" w:rsidRDefault="00000000">
            <w:pPr>
              <w:spacing w:after="0"/>
            </w:pPr>
            <w:r>
              <w:rPr>
                <w:i/>
                <w:color w:val="6A7369"/>
              </w:rPr>
              <w:t>ver destaque</w:t>
            </w:r>
          </w:p>
        </w:tc>
        <w:tc>
          <w:tcPr>
            <w:tcW w:w="4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54F691" w14:textId="77777777" w:rsidR="006D649A" w:rsidRDefault="00000000">
            <w:pPr>
              <w:spacing w:after="0"/>
            </w:pPr>
            <w:r>
              <w:t>receita × custos × resultado, mês a mês</w:t>
            </w:r>
          </w:p>
        </w:tc>
      </w:tr>
    </w:tbl>
    <w:p w14:paraId="3E5AB661" w14:textId="77777777" w:rsidR="006D649A" w:rsidRDefault="006D649A">
      <w:pPr>
        <w:spacing w:after="80"/>
      </w:pPr>
    </w:p>
    <w:p w14:paraId="39137072" w14:textId="77777777" w:rsidR="006D649A" w:rsidRDefault="00000000">
      <w:pPr>
        <w:pStyle w:val="Ttulo1"/>
      </w:pPr>
      <w:r>
        <w:t>Destaque — HUNF · DRE</w:t>
      </w:r>
    </w:p>
    <w:p w14:paraId="39CD8AA6" w14:textId="77777777" w:rsidR="006D649A" w:rsidRDefault="00000000">
      <w:r>
        <w:t>O demonstrativo que a gestão lê — receita, custos e resultado por mês (</w:t>
      </w:r>
      <w:proofErr w:type="spellStart"/>
      <w:r>
        <w:t>jan</w:t>
      </w:r>
      <w:proofErr w:type="spellEnd"/>
      <w:r>
        <w:t xml:space="preserve">/2025 a </w:t>
      </w:r>
      <w:proofErr w:type="spellStart"/>
      <w:r>
        <w:t>jul</w:t>
      </w:r>
      <w:proofErr w:type="spellEnd"/>
      <w:r>
        <w:t>/2026).</w:t>
      </w:r>
    </w:p>
    <w:tbl>
      <w:tblPr>
        <w:tblW w:w="0" w:type="auto"/>
        <w:tblInd w:w="110" w:type="dxa"/>
        <w:tblBorders>
          <w:top w:val="single" w:sz="4" w:space="0" w:color="D8DED6"/>
          <w:left w:val="single" w:sz="4" w:space="0" w:color="D8DED6"/>
          <w:bottom w:val="single" w:sz="4" w:space="0" w:color="D8DED6"/>
          <w:right w:val="single" w:sz="4" w:space="0" w:color="D8DED6"/>
          <w:insideH w:val="single" w:sz="4" w:space="0" w:color="D8DED6"/>
          <w:insideV w:val="single" w:sz="4" w:space="0" w:color="D8DE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6D649A" w14:paraId="5F34F8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0F4A3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4CD5DA" w14:textId="77777777" w:rsidR="006D649A" w:rsidRDefault="00000000">
            <w:pPr>
              <w:spacing w:after="0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w="5626" w:type="dxa"/>
            <w:shd w:val="clear" w:color="auto" w:fill="0F4A34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B4D3FA" w14:textId="77777777" w:rsidR="006D649A" w:rsidRDefault="00000000">
            <w:pPr>
              <w:spacing w:after="0"/>
            </w:pPr>
            <w:r>
              <w:rPr>
                <w:b/>
                <w:color w:val="FFFFFF"/>
              </w:rPr>
              <w:t>Valor</w:t>
            </w:r>
          </w:p>
        </w:tc>
      </w:tr>
      <w:tr w:rsidR="006D649A" w14:paraId="33C6FB1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1F1F4B" w14:textId="77777777" w:rsidR="006D649A" w:rsidRDefault="00000000">
            <w:pPr>
              <w:spacing w:after="0"/>
            </w:pPr>
            <w:r>
              <w:t>Receita bruta</w:t>
            </w:r>
          </w:p>
        </w:tc>
        <w:tc>
          <w:tcPr>
            <w:tcW w:w="5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040E8" w14:textId="77777777" w:rsidR="006D649A" w:rsidRDefault="00000000">
            <w:pPr>
              <w:spacing w:after="0"/>
            </w:pPr>
            <w:r>
              <w:rPr>
                <w:b/>
              </w:rPr>
              <w:t xml:space="preserve">R$ 236,9 </w:t>
            </w:r>
            <w:proofErr w:type="gramStart"/>
            <w:r>
              <w:rPr>
                <w:b/>
              </w:rPr>
              <w:t>mi</w:t>
            </w:r>
            <w:r>
              <w:rPr>
                <w:color w:val="6A7369"/>
              </w:rPr>
              <w:t xml:space="preserve">  (</w:t>
            </w:r>
            <w:proofErr w:type="gramEnd"/>
            <w:r>
              <w:rPr>
                <w:color w:val="6A7369"/>
              </w:rPr>
              <w:t>média de R$ 12,5 mi/mês)</w:t>
            </w:r>
          </w:p>
        </w:tc>
      </w:tr>
      <w:tr w:rsidR="006D649A" w14:paraId="3A8208A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C8AE2" w14:textId="77777777" w:rsidR="006D649A" w:rsidRDefault="00000000">
            <w:pPr>
              <w:spacing w:after="0"/>
            </w:pPr>
            <w:r>
              <w:t>Resultado líquido</w:t>
            </w:r>
          </w:p>
        </w:tc>
        <w:tc>
          <w:tcPr>
            <w:tcW w:w="5626" w:type="dxa"/>
            <w:shd w:val="clear" w:color="auto" w:fill="F2F5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88E9E6" w14:textId="77777777" w:rsidR="006D649A" w:rsidRDefault="00000000">
            <w:pPr>
              <w:spacing w:after="0"/>
            </w:pPr>
            <w:r>
              <w:rPr>
                <w:b/>
              </w:rPr>
              <w:t xml:space="preserve">R$ 14,6 </w:t>
            </w:r>
            <w:proofErr w:type="gramStart"/>
            <w:r>
              <w:rPr>
                <w:b/>
              </w:rPr>
              <w:t>mi</w:t>
            </w:r>
            <w:r>
              <w:rPr>
                <w:color w:val="6A7369"/>
              </w:rPr>
              <w:t xml:space="preserve">  (</w:t>
            </w:r>
            <w:proofErr w:type="gramEnd"/>
            <w:r>
              <w:rPr>
                <w:color w:val="6A7369"/>
              </w:rPr>
              <w:t>média de R$ 767 mil/mês)</w:t>
            </w:r>
          </w:p>
        </w:tc>
      </w:tr>
      <w:tr w:rsidR="006D649A" w14:paraId="7931650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3B2CF" w14:textId="77777777" w:rsidR="006D649A" w:rsidRDefault="00000000">
            <w:pPr>
              <w:spacing w:after="0"/>
            </w:pPr>
            <w:r>
              <w:t>Margem líquida</w:t>
            </w:r>
          </w:p>
        </w:tc>
        <w:tc>
          <w:tcPr>
            <w:tcW w:w="56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3F8080" w14:textId="77777777" w:rsidR="006D649A" w:rsidRDefault="00000000">
            <w:pPr>
              <w:spacing w:after="0"/>
            </w:pPr>
            <w:r>
              <w:rPr>
                <w:b/>
              </w:rPr>
              <w:t>6,2%</w:t>
            </w:r>
          </w:p>
        </w:tc>
      </w:tr>
      <w:tr w:rsidR="006D649A" w14:paraId="48F92DB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E6030" w14:textId="77777777" w:rsidR="006D649A" w:rsidRDefault="00000000">
            <w:pPr>
              <w:spacing w:after="0"/>
            </w:pPr>
            <w:r>
              <w:t>Meses com prejuízo</w:t>
            </w:r>
          </w:p>
        </w:tc>
        <w:tc>
          <w:tcPr>
            <w:tcW w:w="5626" w:type="dxa"/>
            <w:shd w:val="clear" w:color="auto" w:fill="F2F5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BD01C2" w14:textId="77777777" w:rsidR="006D649A" w:rsidRDefault="00000000">
            <w:pPr>
              <w:spacing w:after="0"/>
            </w:pPr>
            <w:r>
              <w:rPr>
                <w:b/>
                <w:color w:val="B4521F"/>
              </w:rPr>
              <w:t>7 de 19</w:t>
            </w:r>
          </w:p>
        </w:tc>
      </w:tr>
    </w:tbl>
    <w:p w14:paraId="1A5CA9B1" w14:textId="77777777" w:rsidR="006D649A" w:rsidRDefault="006D649A">
      <w:pPr>
        <w:spacing w:after="80"/>
      </w:pPr>
    </w:p>
    <w:p w14:paraId="6FE6B2B4" w14:textId="77777777" w:rsidR="006D649A" w:rsidRDefault="00000000">
      <w:pPr>
        <w:pStyle w:val="Ttulo2"/>
        <w:spacing w:after="120"/>
      </w:pPr>
      <w:r>
        <w:t>Para onde vai a receita</w:t>
      </w:r>
    </w:p>
    <w:p w14:paraId="0062A791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rPr>
          <w:b/>
        </w:rPr>
        <w:t>95,4% da receita vira custo e despesa</w:t>
      </w:r>
      <w:r>
        <w:t>; resultado operacional de R$ 15,7 mi (6,6% da receita).</w:t>
      </w:r>
    </w:p>
    <w:p w14:paraId="63C32909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t xml:space="preserve">Maior bloco de despesa: materiais e serviços hospitalares — </w:t>
      </w:r>
      <w:r>
        <w:rPr>
          <w:b/>
        </w:rPr>
        <w:t>R$ 109,9 mi (48,7% das despesas)</w:t>
      </w:r>
      <w:r>
        <w:t>.</w:t>
      </w:r>
    </w:p>
    <w:p w14:paraId="510A236C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t xml:space="preserve">Margem instável: melhor mês </w:t>
      </w:r>
      <w:r>
        <w:rPr>
          <w:b/>
          <w:color w:val="0A6B47"/>
        </w:rPr>
        <w:t>+28,5%</w:t>
      </w:r>
      <w:r>
        <w:t xml:space="preserve"> (</w:t>
      </w:r>
      <w:proofErr w:type="spellStart"/>
      <w:r>
        <w:t>nov</w:t>
      </w:r>
      <w:proofErr w:type="spellEnd"/>
      <w:r>
        <w:t xml:space="preserve">/25), pior </w:t>
      </w:r>
      <w:r>
        <w:rPr>
          <w:b/>
          <w:color w:val="B4521F"/>
        </w:rPr>
        <w:t>−23,8%</w:t>
      </w:r>
      <w:r>
        <w:t xml:space="preserve"> (</w:t>
      </w:r>
      <w:proofErr w:type="spellStart"/>
      <w:r>
        <w:t>abr</w:t>
      </w:r>
      <w:proofErr w:type="spellEnd"/>
      <w:r>
        <w:t>/25).</w:t>
      </w:r>
    </w:p>
    <w:p w14:paraId="0CFDD6B5" w14:textId="77777777" w:rsidR="006D649A" w:rsidRDefault="00000000">
      <w:pPr>
        <w:shd w:val="clear" w:color="auto" w:fill="FAECE3"/>
        <w:spacing w:after="160"/>
        <w:ind w:left="120"/>
      </w:pPr>
      <w:r>
        <w:rPr>
          <w:b/>
          <w:color w:val="B4521F"/>
        </w:rPr>
        <w:t xml:space="preserve">Alerta automático: </w:t>
      </w:r>
      <w:r>
        <w:t>8 contas de despesa com valor positivo (R$ 2,36 mi) — sinal a conferir na planilha.</w:t>
      </w:r>
    </w:p>
    <w:p w14:paraId="01228386" w14:textId="77777777" w:rsidR="006D649A" w:rsidRDefault="00000000">
      <w:pPr>
        <w:pStyle w:val="Ttulo1"/>
      </w:pPr>
      <w:r>
        <w:lastRenderedPageBreak/>
        <w:t>Por que importa</w:t>
      </w:r>
    </w:p>
    <w:p w14:paraId="241C4DC6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rPr>
          <w:b/>
        </w:rPr>
        <w:t>Decisão com número que confere</w:t>
      </w:r>
      <w:r>
        <w:t xml:space="preserve"> — a análise bate com a própria planilha.</w:t>
      </w:r>
    </w:p>
    <w:p w14:paraId="6CE07135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rPr>
          <w:b/>
        </w:rPr>
        <w:t>No seu computador</w:t>
      </w:r>
      <w:r>
        <w:t>, sem enviar dados e sem custo de nuvem (LGPD).</w:t>
      </w:r>
    </w:p>
    <w:p w14:paraId="7963E025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rPr>
          <w:b/>
        </w:rPr>
        <w:t>Pronto para apresentar</w:t>
      </w:r>
      <w:r>
        <w:t xml:space="preserve"> — HTML offline com filtro de período.</w:t>
      </w:r>
    </w:p>
    <w:p w14:paraId="079AE49B" w14:textId="77777777" w:rsidR="006D649A" w:rsidRDefault="00000000">
      <w:pPr>
        <w:ind w:left="360" w:hanging="360"/>
      </w:pPr>
      <w:r>
        <w:rPr>
          <w:b/>
          <w:color w:val="0A6B47"/>
        </w:rPr>
        <w:t xml:space="preserve">•  </w:t>
      </w:r>
      <w:r>
        <w:rPr>
          <w:b/>
        </w:rPr>
        <w:t>Cresce por configuração</w:t>
      </w:r>
      <w:r>
        <w:t xml:space="preserve"> — cada planilha nova é um modelo, sem reprogramar e sem IA.</w:t>
      </w:r>
    </w:p>
    <w:p w14:paraId="5C40B6D8" w14:textId="77777777" w:rsidR="006D649A" w:rsidRDefault="00000000">
      <w:pPr>
        <w:spacing w:after="0"/>
      </w:pPr>
      <w:r>
        <w:rPr>
          <w:b/>
          <w:i/>
          <w:color w:val="0A3B2A"/>
        </w:rPr>
        <w:t>Das planilhas dos setores à decisão da gestão — rápido, confiável, auditável e dentro de casa.</w:t>
      </w:r>
    </w:p>
    <w:sectPr w:rsidR="006D649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649A"/>
    <w:rsid w:val="00445A45"/>
    <w:rsid w:val="006D649A"/>
    <w:rsid w:val="00E0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38E31"/>
  <w15:docId w15:val="{32A1524E-4E1D-4A2D-A1D9-278BDFEA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1A2420"/>
        <w:sz w:val="22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Ttulo1">
    <w:name w:val="heading 1"/>
    <w:basedOn w:val="Normal"/>
    <w:uiPriority w:val="9"/>
    <w:qFormat/>
    <w:pPr>
      <w:spacing w:before="280"/>
      <w:outlineLvl w:val="0"/>
    </w:pPr>
    <w:rPr>
      <w:b/>
      <w:color w:val="0A3B2A"/>
      <w:sz w:val="32"/>
    </w:rPr>
  </w:style>
  <w:style w:type="paragraph" w:styleId="Ttulo2">
    <w:name w:val="heading 2"/>
    <w:basedOn w:val="Normal"/>
    <w:uiPriority w:val="9"/>
    <w:unhideWhenUsed/>
    <w:qFormat/>
    <w:pPr>
      <w:spacing w:before="140" w:after="80"/>
      <w:outlineLvl w:val="1"/>
    </w:pPr>
    <w:rPr>
      <w:b/>
      <w:color w:val="0A6B47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after="80"/>
    </w:pPr>
    <w:rPr>
      <w:b/>
      <w:color w:val="0A3B2A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604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Douglas Gomes</cp:lastModifiedBy>
  <cp:revision>2</cp:revision>
  <dcterms:created xsi:type="dcterms:W3CDTF">2026-10-23T13:18:00Z</dcterms:created>
  <dcterms:modified xsi:type="dcterms:W3CDTF">2026-10-23T13:23:00Z</dcterms:modified>
</cp:coreProperties>
</file>