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787852" w14:textId="77777777" w:rsidR="00B442F5" w:rsidRPr="00B442F5" w:rsidRDefault="00B442F5" w:rsidP="00B442F5">
      <w:pPr>
        <w:spacing w:line="480" w:lineRule="auto"/>
        <w:jc w:val="center"/>
        <w:rPr>
          <w:rFonts w:cs="Times New Roman"/>
          <w:color w:val="000000" w:themeColor="text1"/>
        </w:rPr>
      </w:pPr>
      <w:r w:rsidRPr="00B442F5">
        <w:rPr>
          <w:rFonts w:cs="Times New Roman"/>
          <w:b/>
          <w:color w:val="000000" w:themeColor="text1"/>
          <w:sz w:val="40"/>
        </w:rPr>
        <w:br/>
      </w:r>
      <w:r w:rsidRPr="00B442F5">
        <w:rPr>
          <w:rFonts w:cs="Times New Roman"/>
          <w:b/>
          <w:color w:val="000000" w:themeColor="text1"/>
          <w:sz w:val="40"/>
        </w:rPr>
        <w:br/>
      </w:r>
      <w:r w:rsidRPr="00B442F5">
        <w:rPr>
          <w:rFonts w:cs="Times New Roman"/>
          <w:b/>
          <w:color w:val="000000" w:themeColor="text1"/>
          <w:sz w:val="32"/>
          <w:szCs w:val="32"/>
        </w:rPr>
        <w:t>Development of an Explainable AI Prototype for Detecting Suspicious Credit Card Transactions</w:t>
      </w:r>
      <w:r w:rsidRPr="00B442F5">
        <w:rPr>
          <w:rFonts w:cs="Times New Roman"/>
          <w:b/>
          <w:color w:val="000000" w:themeColor="text1"/>
          <w:sz w:val="40"/>
        </w:rPr>
        <w:br/>
      </w:r>
      <w:r w:rsidRPr="00B442F5">
        <w:rPr>
          <w:rFonts w:cs="Times New Roman"/>
          <w:i/>
          <w:color w:val="000000" w:themeColor="text1"/>
        </w:rPr>
        <w:br/>
        <w:t>A Capstone Project Technical Report of MSIT 5910</w:t>
      </w:r>
      <w:r w:rsidRPr="00B442F5">
        <w:rPr>
          <w:rFonts w:cs="Times New Roman"/>
          <w:i/>
          <w:color w:val="000000" w:themeColor="text1"/>
        </w:rPr>
        <w:br/>
      </w:r>
      <w:r w:rsidRPr="00B442F5">
        <w:rPr>
          <w:rFonts w:cs="Times New Roman"/>
          <w:i/>
          <w:color w:val="000000" w:themeColor="text1"/>
        </w:rPr>
        <w:br/>
        <w:t>Submitted by:</w:t>
      </w:r>
      <w:r w:rsidRPr="00B442F5">
        <w:rPr>
          <w:rFonts w:cs="Times New Roman"/>
          <w:i/>
          <w:color w:val="000000" w:themeColor="text1"/>
        </w:rPr>
        <w:br/>
      </w:r>
      <w:r w:rsidRPr="00B442F5">
        <w:rPr>
          <w:rFonts w:cs="Times New Roman"/>
          <w:b/>
          <w:color w:val="000000" w:themeColor="text1"/>
        </w:rPr>
        <w:t>Douglas Niyonsingiza</w:t>
      </w:r>
      <w:r w:rsidRPr="00B442F5">
        <w:rPr>
          <w:rFonts w:cs="Times New Roman"/>
          <w:b/>
          <w:color w:val="000000" w:themeColor="text1"/>
        </w:rPr>
        <w:br/>
      </w:r>
      <w:r w:rsidRPr="00B442F5">
        <w:rPr>
          <w:rFonts w:cs="Times New Roman"/>
          <w:b/>
          <w:color w:val="000000" w:themeColor="text1"/>
        </w:rPr>
        <w:br/>
      </w:r>
      <w:r w:rsidRPr="00B442F5">
        <w:rPr>
          <w:rFonts w:cs="Times New Roman"/>
          <w:color w:val="000000" w:themeColor="text1"/>
        </w:rPr>
        <w:t>Capstone Project University of the People</w:t>
      </w:r>
      <w:r w:rsidRPr="00B442F5">
        <w:rPr>
          <w:rFonts w:cs="Times New Roman"/>
          <w:color w:val="000000" w:themeColor="text1"/>
        </w:rPr>
        <w:br/>
        <w:t>MSIT 5910</w:t>
      </w:r>
      <w:r w:rsidRPr="00B442F5">
        <w:rPr>
          <w:rFonts w:cs="Times New Roman"/>
          <w:color w:val="000000" w:themeColor="text1"/>
        </w:rPr>
        <w:br/>
        <w:t>Professor Pavuluri Sirisha</w:t>
      </w:r>
      <w:r w:rsidRPr="00B442F5">
        <w:rPr>
          <w:rFonts w:cs="Times New Roman"/>
          <w:color w:val="000000" w:themeColor="text1"/>
        </w:rPr>
        <w:br/>
        <w:t>Assignment Due Date: July 2026</w:t>
      </w:r>
    </w:p>
    <w:p w14:paraId="37ACDB8C"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br w:type="page"/>
      </w:r>
    </w:p>
    <w:p w14:paraId="7D6F6A10"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lastRenderedPageBreak/>
        <w:t>Abstract</w:t>
      </w:r>
    </w:p>
    <w:p w14:paraId="3644F0B5"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This technical report presents the early design of an explainable artificial intelligence prototype for detecting suspicious credit card transactions. The project addresses a financial-technology and cybersecurity problem: fraudulent transactions are rare, adaptive, and costly, while complex machine-learning models can produce alerts that are difficult for analysts to interpret. The proposed prototype uses a public anonymized credit card fraud dataset, Python-based data preparation, logistic regression as an interpretable baseline, random forest as a stronger comparison model, and SHAP or feature importance to explain model predictions. The system design separates the project into data ingestion, preparation, model training, evaluation, explainability, dashboard reporting, and governance modules. The expected contribution is a realistic proof of concept that demonstrates how fraud-risk scoring can be combined with transparent explanations and human review. This report consolidates the literature survey, problem statement, architecture design, module requirements, and progress documentation completed during the first three units of the capstone.</w:t>
      </w:r>
    </w:p>
    <w:p w14:paraId="0DD32434"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Acknowledgement</w:t>
      </w:r>
    </w:p>
    <w:p w14:paraId="78208733"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I would like to thank Professor Pavuluri Sirisha, the Department of CS &amp; MSIT, and the University of the People for providing the structure, readings, and guidance needed to develop this capstone project. I also appreciate the academic resources that support research, planning, system design, and professional documentation throughout the MSIT program.</w:t>
      </w:r>
    </w:p>
    <w:p w14:paraId="12EFA518"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lastRenderedPageBreak/>
        <w:t>1. Introduction</w:t>
      </w:r>
    </w:p>
    <w:p w14:paraId="0E9D3D0C"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1.1 Background of the Study</w:t>
      </w:r>
    </w:p>
    <w:p w14:paraId="413BB918"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Digital payment systems are central to modern commerce, but they also create opportunities for cyber-enabled financial fraud. Credit card transactions occur at high volume and high speed, while actual fraud cases are usually rare compared with legitimate activity. This imbalance makes fraud detection technically difficult. A model that predicts most transactions as legitimate can appear accurate while still failing to identify the minority class that matters most. For financial institutions, the consequences include direct financial losses, customer inconvenience, investigation costs, and reduced trust in digital payment systems.</w:t>
      </w:r>
    </w:p>
    <w:p w14:paraId="2B38AF5A"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project continues the direction established in Unit 2, where the capstone was defined as the Development of an Explainable AI Prototype for Detecting Suspicious Credit Card Transactions. The project belongs to cybersecurity, fintech, artificial intelligence, and data analytics. It is intentionally designed as a seven-week proof of concept rather than a production banking platform. The prototype will use public anonymized data, train fraud-detection models, evaluate the results, explain predictions, and display the findings through a basic dashboard.</w:t>
      </w:r>
    </w:p>
    <w:p w14:paraId="38ABDD2C"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1.2 Problem Statement</w:t>
      </w:r>
    </w:p>
    <w:p w14:paraId="3450B3C8"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Financial institutions need an accessible and explainable method for detecting suspicious credit card transactions because highly imbalanced data, false-positive alerts, and opaque machine-learning decisions can reduce the effectiveness of fraud investigations. This project will develop and evaluate a small AI-based prototype that identifies potentially fraudulent transactions, assigns risk scores, and explains prediction factors while preserving privacy, security, and human oversight.</w:t>
      </w:r>
    </w:p>
    <w:p w14:paraId="170DCE7C"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lastRenderedPageBreak/>
        <w:t>1.3 Research Question and Objectives</w:t>
      </w:r>
    </w:p>
    <w:p w14:paraId="07B721D3"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primary research question is: How effectively can an explainable machine-learning model detect suspicious credit card transactions while limiting false-positive alerts? The supporting objectives are to clean and analyze a public fraud dataset, develop at least two models, evaluate the models using fraud-relevant metrics, generate explainability outputs, and present the results in a dashboard that supports human review. The project will not automatically block transactions or make final fraud determinations.</w:t>
      </w:r>
    </w:p>
    <w:p w14:paraId="179946AA"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1.4 Scope and Limitations</w:t>
      </w:r>
    </w:p>
    <w:p w14:paraId="6E38A545"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scope includes dataset selection, data cleaning, exploratory analysis, model development, model evaluation, explainability analysis, dashboard design, version control, and documentation. The project excludes live banking integration, personally identifiable customer data, real-time payment processing, enterprise deployment, and automated transaction blocking. The main limitation is that the dataset is public and anonymized, so some variables may not have direct business meaning. This affects the depth of explanations that can be provided to a financial investigator.</w:t>
      </w:r>
    </w:p>
    <w:p w14:paraId="0E294D24"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2. Literature Review</w:t>
      </w:r>
    </w:p>
    <w:p w14:paraId="61812855"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2.1 Machine Learning for Credit Card Fraud Detection</w:t>
      </w:r>
    </w:p>
    <w:p w14:paraId="32F51EF2"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Recent research supports the use of machine learning for fraud detection, but it also shows that the problem is not solved by accuracy alone. Baisholan et al. (2025) developed FraudX AI, an interpretable framework that combines random forest and XGBoost on imbalanced credit card fraud data. Their study is useful for this capstone because it focuses on the same core challenges: </w:t>
      </w:r>
      <w:r w:rsidRPr="00B442F5">
        <w:rPr>
          <w:rFonts w:cs="Times New Roman"/>
          <w:color w:val="000000" w:themeColor="text1"/>
        </w:rPr>
        <w:lastRenderedPageBreak/>
        <w:t>fraud is rare, models must detect the minority class, and explanations are needed to make predictions understandable. The study shows that ensemble learning can improve detection while SHAP can help explain model behavior.</w:t>
      </w:r>
    </w:p>
    <w:p w14:paraId="00B0EA22"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Alrasheedi (2025) compared several machine-learning models for credit card fraud detection, including decision trees, random forests, support vector machines, XGBoost, AdaBoost, multilayer perceptrons, and artificial neural networks. The study is relevant because it tested models on both balanced and unbalanced datasets and emphasized the challenge of distinguishing genuine transactions from fraudulent ones. This capstone uses logistic regression and random forest because logistic regression provides an interpretable baseline, while random forest offers stronger pattern-detection ability without requiring the complexity of deep learning.</w:t>
      </w:r>
    </w:p>
    <w:p w14:paraId="1E12C104"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2.2 Explainability and Human Oversight</w:t>
      </w:r>
    </w:p>
    <w:p w14:paraId="508385C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Explainability is central to this project because fraud analysts need to understand why a transaction was flagged. A black-box alert may not be enough for investigation, compliance, or customer service. SHAP, introduced by Lundberg and Lee (2017), explains predictions by assigning contribution values to model features. In this capstone, SHAP or feature importance will be used to create reason codes for high-risk transactions. However, the report will also acknowledge that the selected public dataset contains transformed features. As a result, explanations may be technically accurate but less meaningful than explanations based on original business variables such as merchant type, device behavior, or location.</w:t>
      </w:r>
    </w:p>
    <w:p w14:paraId="60B0FC86"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2.3 Requirements, Architecture, and Secure Design</w:t>
      </w:r>
    </w:p>
    <w:p w14:paraId="00D48A42"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The course readings emphasize that clear requirements and architecture improve software quality. Summers (2020) explains that functional and performance requirements clarify what the </w:t>
      </w:r>
      <w:r w:rsidRPr="00B442F5">
        <w:rPr>
          <w:rFonts w:cs="Times New Roman"/>
          <w:color w:val="000000" w:themeColor="text1"/>
        </w:rPr>
        <w:lastRenderedPageBreak/>
        <w:t>system must do and how effectively it must operate. Letaw (2024) similarly distinguishes functional requirements from non-functional requirements such as usability, performance, reliability, and security. These ideas directly shape the prototype design. The system must load data, prepare it, train models, evaluate results, explain predictions, and display outputs. It must also remain secure, understandable, maintainable, and realistic for the capstone timeline.</w:t>
      </w:r>
    </w:p>
    <w:p w14:paraId="74C8B6D4"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Walker (2022) describes common software architecture patterns and explains that the right pattern depends on scalability, maintainability, and system goals. The project uses a modular layered approach because it keeps responsibilities separate. The data module does not perform modeling, the model module does not control dashboard presentation, and the dashboard does not retrain the model. This separation supports testing and later improvement.</w:t>
      </w:r>
    </w:p>
    <w:p w14:paraId="531ACD57"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2.4 Version Control and Software Traceability</w:t>
      </w:r>
    </w:p>
    <w:p w14:paraId="46445E3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Davies (2024) explains that Git helps developers inspect status, review logs, compare versions, and return to earlier states. For a capstone project, this is not only a coding convenience; it is part of quality assurance. The repository will store source code, documentation, and design files in separate folders. The main branch will hold stable versions, while the development branch will contain active work. Clear commit messages will document progress and support traceability between requirements, design, implementation, and evaluation.</w:t>
      </w:r>
    </w:p>
    <w:p w14:paraId="47E04FFB"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2.5 Research Gap</w:t>
      </w:r>
    </w:p>
    <w:p w14:paraId="036939C3"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The literature shows strong model performance in fraud detection and growing interest in explainability, but there remains a practical gap for small, transparent, student-achievable prototypes that combine model evaluation, explanation, dashboard reporting, ethical safeguards, </w:t>
      </w:r>
      <w:r w:rsidRPr="00B442F5">
        <w:rPr>
          <w:rFonts w:cs="Times New Roman"/>
          <w:color w:val="000000" w:themeColor="text1"/>
        </w:rPr>
        <w:lastRenderedPageBreak/>
        <w:t>and secure project documentation. This capstone addresses that gap by building a focused proof of concept rather than attempting a production-level fraud platform.</w:t>
      </w:r>
    </w:p>
    <w:p w14:paraId="76D99EB1"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3. System Design</w:t>
      </w:r>
    </w:p>
    <w:p w14:paraId="15A9D6A0"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3.1 System Architecture</w:t>
      </w:r>
    </w:p>
    <w:p w14:paraId="2F9B886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system architecture contains seven primary modules: data ingestion, data preparation, model training, evaluation, explainability, dashboard reporting, and governance/version control. The design uses a sequential data flow. First, the public dataset is loaded and checked. Second, the data is cleaned, scaled, and split. Third, the models are trained. Fourth, the models are evaluated. Fifth, explainability outputs are generated. Sixth, a dashboard presents risk scores, predictions, metrics, and explanations to a human reviewer. Governance controls apply throughout the pipeline.</w:t>
      </w:r>
    </w:p>
    <w:p w14:paraId="7CCB92F4" w14:textId="77777777" w:rsidR="00B442F5" w:rsidRPr="00B442F5" w:rsidRDefault="00B442F5" w:rsidP="00B442F5">
      <w:pPr>
        <w:spacing w:line="480" w:lineRule="auto"/>
        <w:jc w:val="center"/>
        <w:rPr>
          <w:rFonts w:cs="Times New Roman"/>
          <w:color w:val="000000" w:themeColor="text1"/>
        </w:rPr>
      </w:pPr>
      <w:r w:rsidRPr="00B442F5">
        <w:rPr>
          <w:rFonts w:cs="Times New Roman"/>
          <w:b/>
          <w:color w:val="000000" w:themeColor="text1"/>
          <w:sz w:val="20"/>
        </w:rPr>
        <w:t>Figure 1. System Architecture Diagram</w:t>
      </w:r>
    </w:p>
    <w:p w14:paraId="28D190CE" w14:textId="77777777" w:rsidR="00B442F5" w:rsidRPr="00B442F5" w:rsidRDefault="00B442F5" w:rsidP="00B442F5">
      <w:pPr>
        <w:spacing w:line="480" w:lineRule="auto"/>
        <w:rPr>
          <w:rFonts w:cs="Times New Roman"/>
          <w:color w:val="000000" w:themeColor="text1"/>
        </w:rPr>
      </w:pPr>
      <w:r w:rsidRPr="00B442F5">
        <w:rPr>
          <w:rFonts w:cs="Times New Roman"/>
          <w:noProof/>
          <w:color w:val="000000" w:themeColor="text1"/>
        </w:rPr>
        <w:lastRenderedPageBreak/>
        <w:drawing>
          <wp:inline distT="0" distB="0" distL="0" distR="0" wp14:anchorId="2D6F7489" wp14:editId="27D66B9C">
            <wp:extent cx="5943600" cy="3597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architecture_diagram.png"/>
                    <pic:cNvPicPr/>
                  </pic:nvPicPr>
                  <pic:blipFill>
                    <a:blip r:embed="rId4"/>
                    <a:stretch>
                      <a:fillRect/>
                    </a:stretch>
                  </pic:blipFill>
                  <pic:spPr>
                    <a:xfrm>
                      <a:off x="0" y="0"/>
                      <a:ext cx="5943600" cy="3597442"/>
                    </a:xfrm>
                    <a:prstGeom prst="rect">
                      <a:avLst/>
                    </a:prstGeom>
                  </pic:spPr>
                </pic:pic>
              </a:graphicData>
            </a:graphic>
          </wp:inline>
        </w:drawing>
      </w:r>
    </w:p>
    <w:p w14:paraId="0AACF38C"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3.2 Module Specifications</w:t>
      </w:r>
    </w:p>
    <w:tbl>
      <w:tblPr>
        <w:tblStyle w:val="TableGrid"/>
        <w:tblW w:w="0" w:type="auto"/>
        <w:jc w:val="center"/>
        <w:tblLook w:val="04A0" w:firstRow="1" w:lastRow="0" w:firstColumn="1" w:lastColumn="0" w:noHBand="0" w:noVBand="1"/>
      </w:tblPr>
      <w:tblGrid>
        <w:gridCol w:w="2337"/>
        <w:gridCol w:w="2338"/>
        <w:gridCol w:w="2338"/>
        <w:gridCol w:w="2337"/>
      </w:tblGrid>
      <w:tr w:rsidR="00B442F5" w:rsidRPr="00B442F5" w14:paraId="63DC558C" w14:textId="77777777" w:rsidTr="00E94090">
        <w:trPr>
          <w:jc w:val="center"/>
        </w:trPr>
        <w:tc>
          <w:tcPr>
            <w:tcW w:w="2340" w:type="dxa"/>
            <w:shd w:val="clear" w:color="auto" w:fill="D9EAF7"/>
          </w:tcPr>
          <w:p w14:paraId="28080AFE"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Module</w:t>
            </w:r>
          </w:p>
        </w:tc>
        <w:tc>
          <w:tcPr>
            <w:tcW w:w="2340" w:type="dxa"/>
            <w:shd w:val="clear" w:color="auto" w:fill="D9EAF7"/>
          </w:tcPr>
          <w:p w14:paraId="579A708A"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Input</w:t>
            </w:r>
          </w:p>
        </w:tc>
        <w:tc>
          <w:tcPr>
            <w:tcW w:w="2340" w:type="dxa"/>
            <w:shd w:val="clear" w:color="auto" w:fill="D9EAF7"/>
          </w:tcPr>
          <w:p w14:paraId="5ADC35CC"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Output</w:t>
            </w:r>
          </w:p>
        </w:tc>
        <w:tc>
          <w:tcPr>
            <w:tcW w:w="2340" w:type="dxa"/>
            <w:shd w:val="clear" w:color="auto" w:fill="D9EAF7"/>
          </w:tcPr>
          <w:p w14:paraId="4D08C0E1"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Methodology</w:t>
            </w:r>
          </w:p>
        </w:tc>
      </w:tr>
      <w:tr w:rsidR="00B442F5" w:rsidRPr="00B442F5" w14:paraId="2002E4EF" w14:textId="77777777" w:rsidTr="00E94090">
        <w:trPr>
          <w:jc w:val="center"/>
        </w:trPr>
        <w:tc>
          <w:tcPr>
            <w:tcW w:w="2340" w:type="dxa"/>
          </w:tcPr>
          <w:p w14:paraId="16CAC596"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Data Ingestion</w:t>
            </w:r>
          </w:p>
        </w:tc>
        <w:tc>
          <w:tcPr>
            <w:tcW w:w="2340" w:type="dxa"/>
          </w:tcPr>
          <w:p w14:paraId="7C0ACA47"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Dataset CSV</w:t>
            </w:r>
          </w:p>
        </w:tc>
        <w:tc>
          <w:tcPr>
            <w:tcW w:w="2340" w:type="dxa"/>
          </w:tcPr>
          <w:p w14:paraId="44FF0E3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 xml:space="preserve">Validated </w:t>
            </w:r>
            <w:proofErr w:type="spellStart"/>
            <w:r w:rsidRPr="00B442F5">
              <w:rPr>
                <w:rFonts w:cs="Times New Roman"/>
                <w:color w:val="000000" w:themeColor="text1"/>
                <w:sz w:val="20"/>
              </w:rPr>
              <w:t>dataframe</w:t>
            </w:r>
            <w:proofErr w:type="spellEnd"/>
          </w:p>
        </w:tc>
        <w:tc>
          <w:tcPr>
            <w:tcW w:w="2340" w:type="dxa"/>
          </w:tcPr>
          <w:p w14:paraId="07D20B29"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Load data with Pandas and check schema.</w:t>
            </w:r>
          </w:p>
        </w:tc>
      </w:tr>
      <w:tr w:rsidR="00B442F5" w:rsidRPr="00B442F5" w14:paraId="48066A05" w14:textId="77777777" w:rsidTr="00E94090">
        <w:trPr>
          <w:jc w:val="center"/>
        </w:trPr>
        <w:tc>
          <w:tcPr>
            <w:tcW w:w="2340" w:type="dxa"/>
          </w:tcPr>
          <w:p w14:paraId="2A1571C7"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Data Preparation</w:t>
            </w:r>
          </w:p>
        </w:tc>
        <w:tc>
          <w:tcPr>
            <w:tcW w:w="2340" w:type="dxa"/>
          </w:tcPr>
          <w:p w14:paraId="13BAA7A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 xml:space="preserve">Raw </w:t>
            </w:r>
            <w:proofErr w:type="spellStart"/>
            <w:r w:rsidRPr="00B442F5">
              <w:rPr>
                <w:rFonts w:cs="Times New Roman"/>
                <w:color w:val="000000" w:themeColor="text1"/>
                <w:sz w:val="20"/>
              </w:rPr>
              <w:t>dataframe</w:t>
            </w:r>
            <w:proofErr w:type="spellEnd"/>
          </w:p>
        </w:tc>
        <w:tc>
          <w:tcPr>
            <w:tcW w:w="2340" w:type="dxa"/>
          </w:tcPr>
          <w:p w14:paraId="7ABF5D27"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Training/testing sets</w:t>
            </w:r>
          </w:p>
        </w:tc>
        <w:tc>
          <w:tcPr>
            <w:tcW w:w="2340" w:type="dxa"/>
          </w:tcPr>
          <w:p w14:paraId="1A65A20C"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Clean values, scale numeric fields, split data, and document class imbalance.</w:t>
            </w:r>
          </w:p>
        </w:tc>
      </w:tr>
      <w:tr w:rsidR="00B442F5" w:rsidRPr="00B442F5" w14:paraId="30F2BBEA" w14:textId="77777777" w:rsidTr="00E94090">
        <w:trPr>
          <w:jc w:val="center"/>
        </w:trPr>
        <w:tc>
          <w:tcPr>
            <w:tcW w:w="2340" w:type="dxa"/>
          </w:tcPr>
          <w:p w14:paraId="391E1C7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Model Training</w:t>
            </w:r>
          </w:p>
        </w:tc>
        <w:tc>
          <w:tcPr>
            <w:tcW w:w="2340" w:type="dxa"/>
          </w:tcPr>
          <w:p w14:paraId="53376C48"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Training data</w:t>
            </w:r>
          </w:p>
        </w:tc>
        <w:tc>
          <w:tcPr>
            <w:tcW w:w="2340" w:type="dxa"/>
          </w:tcPr>
          <w:p w14:paraId="1041D895"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Trained models</w:t>
            </w:r>
          </w:p>
        </w:tc>
        <w:tc>
          <w:tcPr>
            <w:tcW w:w="2340" w:type="dxa"/>
          </w:tcPr>
          <w:p w14:paraId="491E781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Train logistic regression and random forest using scikit-learn.</w:t>
            </w:r>
          </w:p>
        </w:tc>
      </w:tr>
      <w:tr w:rsidR="00B442F5" w:rsidRPr="00B442F5" w14:paraId="52E75EF0" w14:textId="77777777" w:rsidTr="00E94090">
        <w:trPr>
          <w:jc w:val="center"/>
        </w:trPr>
        <w:tc>
          <w:tcPr>
            <w:tcW w:w="2340" w:type="dxa"/>
          </w:tcPr>
          <w:p w14:paraId="6B1FCF81"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Evaluation</w:t>
            </w:r>
          </w:p>
        </w:tc>
        <w:tc>
          <w:tcPr>
            <w:tcW w:w="2340" w:type="dxa"/>
          </w:tcPr>
          <w:p w14:paraId="3E687D5A"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Predictions and true labels</w:t>
            </w:r>
          </w:p>
        </w:tc>
        <w:tc>
          <w:tcPr>
            <w:tcW w:w="2340" w:type="dxa"/>
          </w:tcPr>
          <w:p w14:paraId="499DB857"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Performance metrics</w:t>
            </w:r>
          </w:p>
        </w:tc>
        <w:tc>
          <w:tcPr>
            <w:tcW w:w="2340" w:type="dxa"/>
          </w:tcPr>
          <w:p w14:paraId="42B5C8D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 xml:space="preserve">Calculate precision, recall, F1-score, </w:t>
            </w:r>
            <w:r w:rsidRPr="00B442F5">
              <w:rPr>
                <w:rFonts w:cs="Times New Roman"/>
                <w:color w:val="000000" w:themeColor="text1"/>
                <w:sz w:val="20"/>
              </w:rPr>
              <w:lastRenderedPageBreak/>
              <w:t>confusion matrix, and false-positive rate.</w:t>
            </w:r>
          </w:p>
        </w:tc>
      </w:tr>
      <w:tr w:rsidR="00B442F5" w:rsidRPr="00B442F5" w14:paraId="219B5207" w14:textId="77777777" w:rsidTr="00E94090">
        <w:trPr>
          <w:jc w:val="center"/>
        </w:trPr>
        <w:tc>
          <w:tcPr>
            <w:tcW w:w="2340" w:type="dxa"/>
          </w:tcPr>
          <w:p w14:paraId="1131EDD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lastRenderedPageBreak/>
              <w:t>Explainability</w:t>
            </w:r>
          </w:p>
        </w:tc>
        <w:tc>
          <w:tcPr>
            <w:tcW w:w="2340" w:type="dxa"/>
          </w:tcPr>
          <w:p w14:paraId="437D091F"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Final model and samples</w:t>
            </w:r>
          </w:p>
        </w:tc>
        <w:tc>
          <w:tcPr>
            <w:tcW w:w="2340" w:type="dxa"/>
          </w:tcPr>
          <w:p w14:paraId="2ED3CBD2"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Reason codes or feature explanations</w:t>
            </w:r>
          </w:p>
        </w:tc>
        <w:tc>
          <w:tcPr>
            <w:tcW w:w="2340" w:type="dxa"/>
          </w:tcPr>
          <w:p w14:paraId="0E3EFDC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Use SHAP or feature importance to explain selected predictions.</w:t>
            </w:r>
          </w:p>
        </w:tc>
      </w:tr>
      <w:tr w:rsidR="00B442F5" w:rsidRPr="00B442F5" w14:paraId="7521DC9E" w14:textId="77777777" w:rsidTr="00E94090">
        <w:trPr>
          <w:jc w:val="center"/>
        </w:trPr>
        <w:tc>
          <w:tcPr>
            <w:tcW w:w="2340" w:type="dxa"/>
          </w:tcPr>
          <w:p w14:paraId="5EA6A4F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Dashboard</w:t>
            </w:r>
          </w:p>
        </w:tc>
        <w:tc>
          <w:tcPr>
            <w:tcW w:w="2340" w:type="dxa"/>
          </w:tcPr>
          <w:p w14:paraId="3A1484E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Metrics, predictions, explanations</w:t>
            </w:r>
          </w:p>
        </w:tc>
        <w:tc>
          <w:tcPr>
            <w:tcW w:w="2340" w:type="dxa"/>
          </w:tcPr>
          <w:p w14:paraId="403C847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Analyst-facing display</w:t>
            </w:r>
          </w:p>
        </w:tc>
        <w:tc>
          <w:tcPr>
            <w:tcW w:w="2340" w:type="dxa"/>
          </w:tcPr>
          <w:p w14:paraId="6CB19EB1"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 xml:space="preserve">Use </w:t>
            </w:r>
            <w:proofErr w:type="spellStart"/>
            <w:r w:rsidRPr="00B442F5">
              <w:rPr>
                <w:rFonts w:cs="Times New Roman"/>
                <w:color w:val="000000" w:themeColor="text1"/>
                <w:sz w:val="20"/>
              </w:rPr>
              <w:t>Streamlit</w:t>
            </w:r>
            <w:proofErr w:type="spellEnd"/>
            <w:r w:rsidRPr="00B442F5">
              <w:rPr>
                <w:rFonts w:cs="Times New Roman"/>
                <w:color w:val="000000" w:themeColor="text1"/>
                <w:sz w:val="20"/>
              </w:rPr>
              <w:t xml:space="preserve"> or Power BI to show results clearly.</w:t>
            </w:r>
          </w:p>
        </w:tc>
      </w:tr>
      <w:tr w:rsidR="00B442F5" w:rsidRPr="00B442F5" w14:paraId="4D5E71B3" w14:textId="77777777" w:rsidTr="00E94090">
        <w:trPr>
          <w:jc w:val="center"/>
        </w:trPr>
        <w:tc>
          <w:tcPr>
            <w:tcW w:w="2340" w:type="dxa"/>
          </w:tcPr>
          <w:p w14:paraId="2F197E07"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Governance</w:t>
            </w:r>
          </w:p>
        </w:tc>
        <w:tc>
          <w:tcPr>
            <w:tcW w:w="2340" w:type="dxa"/>
          </w:tcPr>
          <w:p w14:paraId="0004AA4A"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Repository and documentation</w:t>
            </w:r>
          </w:p>
        </w:tc>
        <w:tc>
          <w:tcPr>
            <w:tcW w:w="2340" w:type="dxa"/>
          </w:tcPr>
          <w:p w14:paraId="4E0580E5"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Traceable project artifacts</w:t>
            </w:r>
          </w:p>
        </w:tc>
        <w:tc>
          <w:tcPr>
            <w:tcW w:w="2340" w:type="dxa"/>
          </w:tcPr>
          <w:p w14:paraId="442EAAE2"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Use GitHub, clear commits, and documented limitations.</w:t>
            </w:r>
          </w:p>
        </w:tc>
      </w:tr>
    </w:tbl>
    <w:p w14:paraId="3B3CB273"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3.3 Functional Requirements</w:t>
      </w:r>
    </w:p>
    <w:tbl>
      <w:tblPr>
        <w:tblStyle w:val="TableGrid"/>
        <w:tblW w:w="0" w:type="auto"/>
        <w:jc w:val="center"/>
        <w:tblLook w:val="04A0" w:firstRow="1" w:lastRow="0" w:firstColumn="1" w:lastColumn="0" w:noHBand="0" w:noVBand="1"/>
      </w:tblPr>
      <w:tblGrid>
        <w:gridCol w:w="4675"/>
        <w:gridCol w:w="4675"/>
      </w:tblGrid>
      <w:tr w:rsidR="00B442F5" w:rsidRPr="00B442F5" w14:paraId="430948DD" w14:textId="77777777" w:rsidTr="00E94090">
        <w:trPr>
          <w:jc w:val="center"/>
        </w:trPr>
        <w:tc>
          <w:tcPr>
            <w:tcW w:w="4680" w:type="dxa"/>
            <w:shd w:val="clear" w:color="auto" w:fill="D9EAF7"/>
          </w:tcPr>
          <w:p w14:paraId="2296B820"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Requirement ID</w:t>
            </w:r>
          </w:p>
        </w:tc>
        <w:tc>
          <w:tcPr>
            <w:tcW w:w="4680" w:type="dxa"/>
            <w:shd w:val="clear" w:color="auto" w:fill="D9EAF7"/>
          </w:tcPr>
          <w:p w14:paraId="0B226F02"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Functional Requirement</w:t>
            </w:r>
          </w:p>
        </w:tc>
      </w:tr>
      <w:tr w:rsidR="00B442F5" w:rsidRPr="00B442F5" w14:paraId="2B153FA3" w14:textId="77777777" w:rsidTr="00E94090">
        <w:trPr>
          <w:jc w:val="center"/>
        </w:trPr>
        <w:tc>
          <w:tcPr>
            <w:tcW w:w="4680" w:type="dxa"/>
          </w:tcPr>
          <w:p w14:paraId="563D1569"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FR-1</w:t>
            </w:r>
          </w:p>
        </w:tc>
        <w:tc>
          <w:tcPr>
            <w:tcW w:w="4680" w:type="dxa"/>
          </w:tcPr>
          <w:p w14:paraId="006B2FC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Load the selected public anonymized fraud dataset.</w:t>
            </w:r>
          </w:p>
        </w:tc>
      </w:tr>
      <w:tr w:rsidR="00B442F5" w:rsidRPr="00B442F5" w14:paraId="1DE40F32" w14:textId="77777777" w:rsidTr="00E94090">
        <w:trPr>
          <w:jc w:val="center"/>
        </w:trPr>
        <w:tc>
          <w:tcPr>
            <w:tcW w:w="4680" w:type="dxa"/>
          </w:tcPr>
          <w:p w14:paraId="69370F3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FR-2</w:t>
            </w:r>
          </w:p>
        </w:tc>
        <w:tc>
          <w:tcPr>
            <w:tcW w:w="4680" w:type="dxa"/>
          </w:tcPr>
          <w:p w14:paraId="0050269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Clean and prepare data for machine-learning analysis.</w:t>
            </w:r>
          </w:p>
        </w:tc>
      </w:tr>
      <w:tr w:rsidR="00B442F5" w:rsidRPr="00B442F5" w14:paraId="6A11CDDF" w14:textId="77777777" w:rsidTr="00E94090">
        <w:trPr>
          <w:jc w:val="center"/>
        </w:trPr>
        <w:tc>
          <w:tcPr>
            <w:tcW w:w="4680" w:type="dxa"/>
          </w:tcPr>
          <w:p w14:paraId="5127C37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FR-3</w:t>
            </w:r>
          </w:p>
        </w:tc>
        <w:tc>
          <w:tcPr>
            <w:tcW w:w="4680" w:type="dxa"/>
          </w:tcPr>
          <w:p w14:paraId="7D81727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Train at least two classification models.</w:t>
            </w:r>
          </w:p>
        </w:tc>
      </w:tr>
      <w:tr w:rsidR="00B442F5" w:rsidRPr="00B442F5" w14:paraId="5C3EC23A" w14:textId="77777777" w:rsidTr="00E94090">
        <w:trPr>
          <w:jc w:val="center"/>
        </w:trPr>
        <w:tc>
          <w:tcPr>
            <w:tcW w:w="4680" w:type="dxa"/>
          </w:tcPr>
          <w:p w14:paraId="4813C126"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FR-4</w:t>
            </w:r>
          </w:p>
        </w:tc>
        <w:tc>
          <w:tcPr>
            <w:tcW w:w="4680" w:type="dxa"/>
          </w:tcPr>
          <w:p w14:paraId="38E5A02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Evaluate models using fraud-appropriate metrics.</w:t>
            </w:r>
          </w:p>
        </w:tc>
      </w:tr>
      <w:tr w:rsidR="00B442F5" w:rsidRPr="00B442F5" w14:paraId="6CCE4FC8" w14:textId="77777777" w:rsidTr="00E94090">
        <w:trPr>
          <w:jc w:val="center"/>
        </w:trPr>
        <w:tc>
          <w:tcPr>
            <w:tcW w:w="4680" w:type="dxa"/>
          </w:tcPr>
          <w:p w14:paraId="6EAE09C7"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FR-5</w:t>
            </w:r>
          </w:p>
        </w:tc>
        <w:tc>
          <w:tcPr>
            <w:tcW w:w="4680" w:type="dxa"/>
          </w:tcPr>
          <w:p w14:paraId="25BA07EA"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Generate risk scores for test transactions.</w:t>
            </w:r>
          </w:p>
        </w:tc>
      </w:tr>
      <w:tr w:rsidR="00B442F5" w:rsidRPr="00B442F5" w14:paraId="04B2E9D6" w14:textId="77777777" w:rsidTr="00E94090">
        <w:trPr>
          <w:jc w:val="center"/>
        </w:trPr>
        <w:tc>
          <w:tcPr>
            <w:tcW w:w="4680" w:type="dxa"/>
          </w:tcPr>
          <w:p w14:paraId="41D79934"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FR-6</w:t>
            </w:r>
          </w:p>
        </w:tc>
        <w:tc>
          <w:tcPr>
            <w:tcW w:w="4680" w:type="dxa"/>
          </w:tcPr>
          <w:p w14:paraId="071D28C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Provide explainability outputs for selected high-risk predictions.</w:t>
            </w:r>
          </w:p>
        </w:tc>
      </w:tr>
      <w:tr w:rsidR="00B442F5" w:rsidRPr="00B442F5" w14:paraId="744C8BF8" w14:textId="77777777" w:rsidTr="00E94090">
        <w:trPr>
          <w:jc w:val="center"/>
        </w:trPr>
        <w:tc>
          <w:tcPr>
            <w:tcW w:w="4680" w:type="dxa"/>
          </w:tcPr>
          <w:p w14:paraId="5EC17468"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FR-7</w:t>
            </w:r>
          </w:p>
        </w:tc>
        <w:tc>
          <w:tcPr>
            <w:tcW w:w="4680" w:type="dxa"/>
          </w:tcPr>
          <w:p w14:paraId="3E9BA66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Display findings through a simple dashboard.</w:t>
            </w:r>
          </w:p>
        </w:tc>
      </w:tr>
    </w:tbl>
    <w:p w14:paraId="37A2AA45"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3.4 Non-Functional Requirements</w:t>
      </w:r>
    </w:p>
    <w:tbl>
      <w:tblPr>
        <w:tblStyle w:val="TableGrid"/>
        <w:tblW w:w="0" w:type="auto"/>
        <w:jc w:val="center"/>
        <w:tblLook w:val="04A0" w:firstRow="1" w:lastRow="0" w:firstColumn="1" w:lastColumn="0" w:noHBand="0" w:noVBand="1"/>
      </w:tblPr>
      <w:tblGrid>
        <w:gridCol w:w="4675"/>
        <w:gridCol w:w="4675"/>
      </w:tblGrid>
      <w:tr w:rsidR="00B442F5" w:rsidRPr="00B442F5" w14:paraId="4521FCB8" w14:textId="77777777" w:rsidTr="00E94090">
        <w:trPr>
          <w:jc w:val="center"/>
        </w:trPr>
        <w:tc>
          <w:tcPr>
            <w:tcW w:w="4680" w:type="dxa"/>
            <w:shd w:val="clear" w:color="auto" w:fill="D9EAF7"/>
          </w:tcPr>
          <w:p w14:paraId="766AF899"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Category</w:t>
            </w:r>
          </w:p>
        </w:tc>
        <w:tc>
          <w:tcPr>
            <w:tcW w:w="4680" w:type="dxa"/>
            <w:shd w:val="clear" w:color="auto" w:fill="D9EAF7"/>
          </w:tcPr>
          <w:p w14:paraId="00CFF621" w14:textId="77777777" w:rsidR="00B442F5" w:rsidRPr="00B442F5" w:rsidRDefault="00B442F5" w:rsidP="00B442F5">
            <w:pPr>
              <w:spacing w:line="480" w:lineRule="auto"/>
              <w:rPr>
                <w:rFonts w:cs="Times New Roman"/>
                <w:color w:val="000000" w:themeColor="text1"/>
              </w:rPr>
            </w:pPr>
            <w:r w:rsidRPr="00B442F5">
              <w:rPr>
                <w:rFonts w:cs="Times New Roman"/>
                <w:b/>
                <w:color w:val="000000" w:themeColor="text1"/>
                <w:sz w:val="20"/>
              </w:rPr>
              <w:t>Non-Functional Requirement</w:t>
            </w:r>
          </w:p>
        </w:tc>
      </w:tr>
      <w:tr w:rsidR="00B442F5" w:rsidRPr="00B442F5" w14:paraId="0A84DEE4" w14:textId="77777777" w:rsidTr="00E94090">
        <w:trPr>
          <w:jc w:val="center"/>
        </w:trPr>
        <w:tc>
          <w:tcPr>
            <w:tcW w:w="4680" w:type="dxa"/>
          </w:tcPr>
          <w:p w14:paraId="43E9098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lastRenderedPageBreak/>
              <w:t>Performance</w:t>
            </w:r>
          </w:p>
        </w:tc>
        <w:tc>
          <w:tcPr>
            <w:tcW w:w="4680" w:type="dxa"/>
          </w:tcPr>
          <w:p w14:paraId="5E1FF19C"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Process the dataset and generate results within normal student-computing limits.</w:t>
            </w:r>
          </w:p>
        </w:tc>
      </w:tr>
      <w:tr w:rsidR="00B442F5" w:rsidRPr="00B442F5" w14:paraId="609E386C" w14:textId="77777777" w:rsidTr="00E94090">
        <w:trPr>
          <w:jc w:val="center"/>
        </w:trPr>
        <w:tc>
          <w:tcPr>
            <w:tcW w:w="4680" w:type="dxa"/>
          </w:tcPr>
          <w:p w14:paraId="266795EA"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Usability</w:t>
            </w:r>
          </w:p>
        </w:tc>
        <w:tc>
          <w:tcPr>
            <w:tcW w:w="4680" w:type="dxa"/>
          </w:tcPr>
          <w:p w14:paraId="6EEEF79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Use plain labels, visual metrics, and understandable dashboard elements.</w:t>
            </w:r>
          </w:p>
        </w:tc>
      </w:tr>
      <w:tr w:rsidR="00B442F5" w:rsidRPr="00B442F5" w14:paraId="213E243B" w14:textId="77777777" w:rsidTr="00E94090">
        <w:trPr>
          <w:jc w:val="center"/>
        </w:trPr>
        <w:tc>
          <w:tcPr>
            <w:tcW w:w="4680" w:type="dxa"/>
          </w:tcPr>
          <w:p w14:paraId="30E760C6"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Reliability</w:t>
            </w:r>
          </w:p>
        </w:tc>
        <w:tc>
          <w:tcPr>
            <w:tcW w:w="4680" w:type="dxa"/>
          </w:tcPr>
          <w:p w14:paraId="37786818"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Document the workflow so another reviewer can reproduce the outputs.</w:t>
            </w:r>
          </w:p>
        </w:tc>
      </w:tr>
      <w:tr w:rsidR="00B442F5" w:rsidRPr="00B442F5" w14:paraId="3B2BBBF8" w14:textId="77777777" w:rsidTr="00E94090">
        <w:trPr>
          <w:jc w:val="center"/>
        </w:trPr>
        <w:tc>
          <w:tcPr>
            <w:tcW w:w="4680" w:type="dxa"/>
          </w:tcPr>
          <w:p w14:paraId="6800B828"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Maintainability</w:t>
            </w:r>
          </w:p>
        </w:tc>
        <w:tc>
          <w:tcPr>
            <w:tcW w:w="4680" w:type="dxa"/>
          </w:tcPr>
          <w:p w14:paraId="7EA5D6B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Separate modules so code and documentation can be updated without redesigning the entire system.</w:t>
            </w:r>
          </w:p>
        </w:tc>
      </w:tr>
      <w:tr w:rsidR="00B442F5" w:rsidRPr="00B442F5" w14:paraId="149E422F" w14:textId="77777777" w:rsidTr="00E94090">
        <w:trPr>
          <w:jc w:val="center"/>
        </w:trPr>
        <w:tc>
          <w:tcPr>
            <w:tcW w:w="4680" w:type="dxa"/>
          </w:tcPr>
          <w:p w14:paraId="17D6F27C"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Security</w:t>
            </w:r>
          </w:p>
        </w:tc>
        <w:tc>
          <w:tcPr>
            <w:tcW w:w="4680" w:type="dxa"/>
          </w:tcPr>
          <w:p w14:paraId="2C214D46"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Avoid PII, keep secrets out of Git, use local storage, and restrict dashboard access if deployed.</w:t>
            </w:r>
          </w:p>
        </w:tc>
      </w:tr>
      <w:tr w:rsidR="00B442F5" w:rsidRPr="00B442F5" w14:paraId="64CECED3" w14:textId="77777777" w:rsidTr="00E94090">
        <w:trPr>
          <w:jc w:val="center"/>
        </w:trPr>
        <w:tc>
          <w:tcPr>
            <w:tcW w:w="4680" w:type="dxa"/>
          </w:tcPr>
          <w:p w14:paraId="165DD10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Fairness and ethics</w:t>
            </w:r>
          </w:p>
        </w:tc>
        <w:tc>
          <w:tcPr>
            <w:tcW w:w="4680" w:type="dxa"/>
          </w:tcPr>
          <w:p w14:paraId="2829C09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sz w:val="20"/>
              </w:rPr>
              <w:t>Report limitations, measure false positives, and keep human review in the decision process.</w:t>
            </w:r>
          </w:p>
        </w:tc>
      </w:tr>
    </w:tbl>
    <w:p w14:paraId="6CE170A8" w14:textId="77777777" w:rsidR="00B442F5" w:rsidRPr="00F44504" w:rsidRDefault="00B442F5" w:rsidP="00B442F5">
      <w:pPr>
        <w:pStyle w:val="Heading2"/>
        <w:spacing w:line="480" w:lineRule="auto"/>
        <w:rPr>
          <w:rFonts w:ascii="Times New Roman" w:hAnsi="Times New Roman" w:cs="Times New Roman"/>
          <w:color w:val="000000" w:themeColor="text1"/>
          <w:sz w:val="28"/>
          <w:szCs w:val="28"/>
        </w:rPr>
      </w:pPr>
      <w:r w:rsidRPr="00F44504">
        <w:rPr>
          <w:rFonts w:ascii="Times New Roman" w:hAnsi="Times New Roman" w:cs="Times New Roman"/>
          <w:color w:val="000000" w:themeColor="text1"/>
          <w:sz w:val="28"/>
          <w:szCs w:val="28"/>
        </w:rPr>
        <w:t>3.5 Data Flow and Security Considerations</w:t>
      </w:r>
    </w:p>
    <w:p w14:paraId="1FABCE7A"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Data flows from the public dataset into the ingestion module, then through preparation, modeling, evaluation, explainability, and dashboard reporting. No live customer data will be used. The project will not store names, account numbers, card numbers, or addresses. If a future version uses institutional data, encryption, access control, audit logging, and legal authorization would be required. NIST (2023) recommends managing AI risks throughout the lifecycle, while NIST SP 800-218 recommends secure development practices that can be integrated into the software development lifecycle. Those principles support using data minimization, dependency review, version control, and clear documentation.</w:t>
      </w:r>
    </w:p>
    <w:p w14:paraId="1D1CD1F3"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lastRenderedPageBreak/>
        <w:t>4. Version Control and Collaboration Plan</w:t>
      </w:r>
    </w:p>
    <w:p w14:paraId="75AF1085"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A GitHub repository will be created for the capstone with the following folder structure: /src, /docs, /design, /notebooks, and /tests. The /src folder will contain reusable Python scripts. The /notebooks folder will contain exploratory analysis and model-development notebooks. The /docs folder will contain reports and planning documents. The /design folder will store the architecture diagram, requirements tables, and design notes. The /tests folder will contain simple checks used to verify scripts.</w:t>
      </w:r>
    </w:p>
    <w:p w14:paraId="5819B5D3"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branching approach will use main and development. The main branch will contain stable milestone submissions. The development branch will hold active work before it is reviewed and merged. Commit messages will be written in a clear action format, such as 'Add architecture diagram,' 'Create data preparation notebook,' 'Add random forest model,' and 'Update literature review.' This structure demonstrates traceability because each project artifact can be connected to a dated commit and branch history.</w:t>
      </w:r>
    </w:p>
    <w:p w14:paraId="6D61551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Version control also supports documentation quality. The literature review, problem statement, requirements, design diagram, and code are connected. If one design decision changes, related documentation can be updated in the same commit. If an error is introduced, Git history can identify when it occurred and restore the prior version. Even though the project is completed individually, the repository is organized for collaboration because another reviewer could inspect the branches, read the README, and reproduce the workflow.</w:t>
      </w:r>
    </w:p>
    <w:p w14:paraId="4A0938DA"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lastRenderedPageBreak/>
        <w:t>5. Documentation of Progress</w:t>
      </w:r>
    </w:p>
    <w:p w14:paraId="5ED6EE91"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Several milestones have been completed. The project topic has been narrowed from a broad AI-driven financial security idea to a feasible seven-week credit card fraud-detection prototype. The problem statement, stakeholders, scope, SMART goals, feasibility checklist, and initial project schedule were completed in Unit 2. The current unit adds architecture design, module specifications, functional and non-functional requirements, and version-control planning. The architecture diagram has also been created to show how data moves from ingestion to dashboard reporting.</w:t>
      </w:r>
    </w:p>
    <w:p w14:paraId="768B15A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main challenges so far are scope control, explainability limits, and repository setup. Scope control is important because a full financial fraud platform is not achievable within seven weeks. The project therefore focuses on two models, one dataset, one dashboard, and clear documentation. Explainability is limited because the public dataset uses transformed variables, which means SHAP values may not translate directly into business-friendly explanations. Repository setup is still pending until the GitHub repository URL is created and inserted into the final submission.</w:t>
      </w:r>
    </w:p>
    <w:p w14:paraId="50CB885B"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6. Expected Results and Evaluation Plan</w:t>
      </w:r>
    </w:p>
    <w:p w14:paraId="2B3AE44D"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Because this is a design-stage report, final model results are not yet available. The expected result is a working prototype that compares logistic regression and random forest on the selected dataset. The evaluation will focus on precision, recall, F1-score, confusion matrix, and false-positive rate. Recall is important because missed fraud can cause financial loss. Precision is important because too many false alerts can waste investigator time and inconvenience legitimate </w:t>
      </w:r>
      <w:r w:rsidRPr="00B442F5">
        <w:rPr>
          <w:rFonts w:cs="Times New Roman"/>
          <w:color w:val="000000" w:themeColor="text1"/>
        </w:rPr>
        <w:lastRenderedPageBreak/>
        <w:t>customers. The dashboard will present the selected model's performance and provide explanation outputs for selected transactions.</w:t>
      </w:r>
    </w:p>
    <w:p w14:paraId="0D551E44"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final report will not claim that the prototype is ready for bank production use. Instead, it will explain what the prototype demonstrates, what it cannot demonstrate, and what would be required for a production environment. Future work could include real-time streaming, larger datasets, original business variables, model monitoring, adversarial testing, role-based access, and integration with fraud case-management systems.</w:t>
      </w:r>
    </w:p>
    <w:p w14:paraId="1576C456"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7. Conclusion</w:t>
      </w:r>
    </w:p>
    <w:p w14:paraId="0856E279"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This technical report consolidates the early capstone work into a coherent project design. The proposed system addresses a realistic financial-security problem by building an explainable AI prototype for suspicious credit card transaction detection. The literature supports the need for fraud models that address class imbalance and provide interpretability. The system architecture translates that need into practical modules for data ingestion, preparation, training, evaluation, explanation, dashboard reporting, and governance. Requirements define what the system must do and what qualities it must maintain. Git-based version control will support traceability, documentation consistency, and quality assurance. Overall, the design is narrow enough for a seven-week capstone but strong enough to demonstrate applied skills in AI, cybersecurity, software design, and project management.</w:t>
      </w:r>
    </w:p>
    <w:p w14:paraId="083AFD86"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8. Design Rationale, Ethics, and Security Alignment</w:t>
      </w:r>
    </w:p>
    <w:p w14:paraId="5A1CAEA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The design choices are grounded in both software engineering principles and the ethical nature of financial decision support. Summers (2020) emphasizes that system requirements help connect </w:t>
      </w:r>
      <w:r w:rsidRPr="00B442F5">
        <w:rPr>
          <w:rFonts w:cs="Times New Roman"/>
          <w:color w:val="000000" w:themeColor="text1"/>
        </w:rPr>
        <w:lastRenderedPageBreak/>
        <w:t>system objectives to subsystem responsibilities. In this project, the requirement structure prevents the model from becoming an isolated experiment. The dataset, preprocessing logic, model, evaluation metrics, explanations, dashboard, and repository are all treated as related parts of one system. This is important because fraud detection is not only about building a classifier; it is about producing a trustworthy workflow that a reviewer could understand and audit.</w:t>
      </w:r>
    </w:p>
    <w:p w14:paraId="19664179"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Security is addressed through deliberate scope control. Since the project uses public anonymized data, it avoids direct handling of cardholder names, card numbers, addresses, or live banking transactions. This does not remove all ethical responsibility, because financial-pattern data can still create risk if interpreted carelessly. The project will therefore document the dataset source, avoid re-identification attempts, and clearly state that the prototype is not approved for real customer decisions. If the project were expanded to a real banking environment, stronger controls would be required, including encryption at rest, secure key management, role-based access, audit logging, incident response procedures, and compliance review.</w:t>
      </w:r>
    </w:p>
    <w:p w14:paraId="02EA86E4"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Fairness is also part of the design. The model will be evaluated using fraud-sensitive metrics rather than accuracy alone because accuracy can be misleading when fraud cases are rare. For example, a model that predicts every transaction as legitimate may achieve high accuracy but provide no practical fraud-detection value. Precision, recall, F1-score, false-positive rate, and confusion matrices provide a more honest view of model behavior. This evaluation approach supports ethical reporting because it shows both the strengths and weaknesses of the model rather than presenting a single favorable number.</w:t>
      </w:r>
    </w:p>
    <w:p w14:paraId="7A459AB0"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The explainability module supports accountability by helping users understand the factors that influenced a prediction. However, the report will not overstate what the explanations mean. Because the public dataset uses transformed variables, SHAP explanations may identify </w:t>
      </w:r>
      <w:r w:rsidRPr="00B442F5">
        <w:rPr>
          <w:rFonts w:cs="Times New Roman"/>
          <w:color w:val="000000" w:themeColor="text1"/>
        </w:rPr>
        <w:lastRenderedPageBreak/>
        <w:t>influential features without explaining them in familiar business terms. The design therefore treats explanations as a technical aid, not as complete investigative evidence. This distinction matters because responsible AI design requires careful communication of uncertainty and limitations.</w:t>
      </w:r>
    </w:p>
    <w:p w14:paraId="5B4C452E"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9. Implementation Roadmap</w:t>
      </w:r>
    </w:p>
    <w:p w14:paraId="1806CE0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next stage is implementation. The first implementation task is repository setup. The repository will be created on GitHub with main and development branches. The initial commit will contain the README, .gitignore, documentation folder, design folder, and architecture diagram. The second task is data acquisition and exploration. The dataset will be downloaded from Kaggle, loaded into a notebook, and checked for missing values, class distribution, duplicate records, and basic descriptive statistics. The third task is preprocessing, including scaling appropriate variables and splitting the data into training and testing sets.</w:t>
      </w:r>
    </w:p>
    <w:p w14:paraId="581BA87B"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fourth task is model development. Logistic regression will be trained first because it provides a simple baseline and helps confirm that the workflow is correct. Random forest will then be trained as the main comparison model because it can capture nonlinear patterns and interactions without the complexity of deep neural networks. The fifth task is model evaluation. Evaluation will focus on the minority fraud class and will avoid relying on accuracy as the main measure. The sixth task is explainability and dashboard development. The final selected model will be connected to SHAP or feature-importance outputs, and the dashboard will show key metrics, a confusion matrix, risk scores, and selected explanations.</w:t>
      </w:r>
    </w:p>
    <w:p w14:paraId="381B55C5"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The final implementation task is documentation. The technical report will be updated with screenshots, model outputs, evaluation tables, repository evidence, limitations, and lessons </w:t>
      </w:r>
      <w:r w:rsidRPr="00B442F5">
        <w:rPr>
          <w:rFonts w:cs="Times New Roman"/>
          <w:color w:val="000000" w:themeColor="text1"/>
        </w:rPr>
        <w:lastRenderedPageBreak/>
        <w:t>learned. Any implementation challenge will be recorded rather than hidden. This is important because the capstone is assessed not only on technical success but also on planning, traceability, ethical judgment, and professional communication. A limited but honest prototype is stronger than an ambitious system that makes unsupported claims.</w:t>
      </w:r>
    </w:p>
    <w:p w14:paraId="0BB62D4D" w14:textId="77777777"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t>10. Progress Challenges and Risk Responses</w:t>
      </w:r>
    </w:p>
    <w:p w14:paraId="66F4A86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first major risk is schedule pressure. A seven-week project can fail if too many features are added. The planned response is to protect the core deliverables: data preparation, two models, evaluation, explainability, and a simple dashboard. Optional additions, such as advanced hyperparameter tuning, deployment to the cloud, or multiple datasets, will be deferred unless the core system is complete. The second risk is model overfitting. This will be managed by using a separate test set, comparing models fairly, and reporting performance transparently. The third risk is dependency or environment failure. This will be managed by documenting package versions and keeping code in GitHub.</w:t>
      </w:r>
    </w:p>
    <w:p w14:paraId="52EE6C69"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A fourth risk is misunderstanding the project as a production-ready fraud system. The response is clear documentation. The prototype will be described as a learning and proof-of-concept system using public anonymized data. It will support human review and model explanation but will not make final decisions. A fifth risk is weak documentation consistency. Version control reduces this risk because code, design files, and reports can be updated together with meaningful commit messages. This creates an evidence trail for the capstone and helps ensure that the final report matches the implemented design.</w:t>
      </w:r>
    </w:p>
    <w:p w14:paraId="1FC1D9EE"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 xml:space="preserve">The architecture will also support later evidence collection for the final report. During implementation, screenshots of the notebook workflow, dashboard output, model metrics, and </w:t>
      </w:r>
      <w:r w:rsidRPr="00B442F5">
        <w:rPr>
          <w:rFonts w:cs="Times New Roman"/>
          <w:color w:val="000000" w:themeColor="text1"/>
        </w:rPr>
        <w:lastRenderedPageBreak/>
        <w:t>repository branch history will be captured and placed in the appendices. This will help connect the design-stage requirements to visible implementation evidence. It will also make the report useful for both technical and non-technical readers: technical readers can inspect the methodology and repository structure, while non-technical readers can understand the problem, dashboard, and decision-support value.</w:t>
      </w:r>
    </w:p>
    <w:p w14:paraId="6AD23482" w14:textId="77777777" w:rsidR="00B442F5" w:rsidRPr="00B442F5" w:rsidRDefault="00B442F5" w:rsidP="00B442F5">
      <w:pPr>
        <w:spacing w:line="480" w:lineRule="auto"/>
        <w:rPr>
          <w:rFonts w:cs="Times New Roman"/>
          <w:color w:val="000000" w:themeColor="text1"/>
        </w:rPr>
      </w:pPr>
      <w:r w:rsidRPr="00B442F5">
        <w:rPr>
          <w:rFonts w:cs="Times New Roman"/>
          <w:color w:val="000000" w:themeColor="text1"/>
        </w:rPr>
        <w:t>The most important success measure is not whether the prototype reaches a perfect score. In fraud detection, perfect performance is unrealistic, especially with imbalanced data. Success will be measured by whether the system provides a disciplined, reproducible, and explainable workflow that improves over a simple baseline and clearly communicates its limitations. This standard is more ethical and more academically defensible than presenting a model as complete simply because it produces high accuracy.</w:t>
      </w:r>
    </w:p>
    <w:p w14:paraId="46992EA1" w14:textId="77777777" w:rsidR="00B442F5" w:rsidRDefault="00B442F5">
      <w:pPr>
        <w:spacing w:after="160" w:line="278" w:lineRule="auto"/>
        <w:rPr>
          <w:rFonts w:eastAsiaTheme="majorEastAsia" w:cs="Times New Roman"/>
          <w:color w:val="000000" w:themeColor="text1"/>
          <w:kern w:val="2"/>
          <w:sz w:val="40"/>
          <w:szCs w:val="40"/>
          <w14:ligatures w14:val="standardContextual"/>
        </w:rPr>
      </w:pPr>
      <w:r>
        <w:rPr>
          <w:rFonts w:cs="Times New Roman"/>
          <w:color w:val="000000" w:themeColor="text1"/>
        </w:rPr>
        <w:br w:type="page"/>
      </w:r>
    </w:p>
    <w:p w14:paraId="1D355025" w14:textId="44F3588F" w:rsidR="00B442F5" w:rsidRPr="00B442F5" w:rsidRDefault="00B442F5" w:rsidP="00B442F5">
      <w:pPr>
        <w:pStyle w:val="Heading1"/>
        <w:spacing w:line="480" w:lineRule="auto"/>
        <w:rPr>
          <w:rFonts w:ascii="Times New Roman" w:hAnsi="Times New Roman" w:cs="Times New Roman"/>
          <w:color w:val="000000" w:themeColor="text1"/>
          <w:sz w:val="32"/>
          <w:szCs w:val="32"/>
        </w:rPr>
      </w:pPr>
      <w:r w:rsidRPr="00B442F5">
        <w:rPr>
          <w:rFonts w:ascii="Times New Roman" w:hAnsi="Times New Roman" w:cs="Times New Roman"/>
          <w:color w:val="000000" w:themeColor="text1"/>
          <w:sz w:val="32"/>
          <w:szCs w:val="32"/>
        </w:rPr>
        <w:lastRenderedPageBreak/>
        <w:t>References</w:t>
      </w:r>
    </w:p>
    <w:p w14:paraId="21506B18"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Alrasheedi, M. A. (2025). Enhancing fraud detection in credit card transactions: A comparative study of machine learning models. Computational Economics. https://doi.org/10.1007/s10614-025-11071-3</w:t>
      </w:r>
    </w:p>
    <w:p w14:paraId="25292E6B"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Baisholan, N., Abylkassov, Z., Nassimova, G., Orazbekov, Z., &amp; Akanova, K. (2025). FraudX AI: An interpretable machine learning framework for credit card fraud detection on imbalanced datasets. Computers, 14(4), 120. https://doi.org/10.3390/computers14040120</w:t>
      </w:r>
    </w:p>
    <w:p w14:paraId="37E68947"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Davies, S. (2024). Blueprints: Creating, describing, and implementing designs for larger-scale software projects (Version 2.5). University of Mary Washington. https://open.umn.edu/opentextbooks/textbooks/blueprints-creating-describing-and-implementing-designs-for-larger-scale-software-projects-davis</w:t>
      </w:r>
    </w:p>
    <w:p w14:paraId="222D2A6F"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Kaggle. (n.d.). Credit card fraud detection. https://www.kaggle.com/datasets/mlg-ulb/creditcardfraud</w:t>
      </w:r>
    </w:p>
    <w:p w14:paraId="39C19C4C"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Letaw, L. (2024). Handbook of software engineering methods. Oregon State University. https://open.oregonstate.education/setextbook/</w:t>
      </w:r>
    </w:p>
    <w:p w14:paraId="5395DD62"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Lundberg, S. M., &amp; Lee, S.-I. (2017). A unified approach to interpreting model predictions. Advances in Neural Information Processing Systems, 30. https://proceedings.neurips.cc/paper_files/paper/2017/hash/8a20a8621978632d76c43dfd28b67767-Abstract.html</w:t>
      </w:r>
    </w:p>
    <w:p w14:paraId="375AE746"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National Institute of Standards and Technology. (2022). Secure software development framework (SSDF) version 1.1: Recommendations for mitigating the risk of software vulnerabilities (NIST SP 800-218). https://doi.org/10.6028/NIST.SP.800-218</w:t>
      </w:r>
    </w:p>
    <w:p w14:paraId="356726C5"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lastRenderedPageBreak/>
        <w:t>National Institute of Standards and Technology. (2023). Artificial intelligence risk management framework (AI RMF 1.0). https://doi.org/10.6028/NIST.AI.100-1</w:t>
      </w:r>
    </w:p>
    <w:p w14:paraId="51473233"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Summers, B. L. (2020). Effective methods for software engineering. Auerbach Publishers.</w:t>
      </w:r>
    </w:p>
    <w:p w14:paraId="335DB82D" w14:textId="77777777" w:rsidR="00B442F5" w:rsidRPr="00B442F5" w:rsidRDefault="00B442F5" w:rsidP="00B442F5">
      <w:pPr>
        <w:spacing w:line="480" w:lineRule="auto"/>
        <w:ind w:left="720" w:hanging="720"/>
        <w:rPr>
          <w:rFonts w:cs="Times New Roman"/>
          <w:color w:val="000000" w:themeColor="text1"/>
        </w:rPr>
      </w:pPr>
      <w:r w:rsidRPr="00B442F5">
        <w:rPr>
          <w:rFonts w:cs="Times New Roman"/>
          <w:color w:val="000000" w:themeColor="text1"/>
        </w:rPr>
        <w:t>Walker, V. (2022, March 16). 14 software architecture design patterns to know. Red Hat. https://www.redhat.com/en/blog/14-software-architecture-patterns</w:t>
      </w:r>
    </w:p>
    <w:p w14:paraId="5A95673D" w14:textId="77777777" w:rsidR="00FE16AF" w:rsidRPr="00B442F5" w:rsidRDefault="00FE16AF" w:rsidP="00B442F5">
      <w:pPr>
        <w:spacing w:line="480" w:lineRule="auto"/>
        <w:rPr>
          <w:rFonts w:cs="Times New Roman"/>
          <w:b/>
          <w:bCs/>
          <w:color w:val="000000" w:themeColor="text1"/>
        </w:rPr>
      </w:pPr>
    </w:p>
    <w:sectPr w:rsidR="00FE16AF" w:rsidRPr="00B442F5" w:rsidSect="00B442F5">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B1038" w14:textId="77777777" w:rsidR="00B442F5" w:rsidRDefault="00B442F5">
    <w:pPr>
      <w:pStyle w:val="Footer"/>
      <w:jc w:val="center"/>
    </w:pP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F5"/>
    <w:rsid w:val="001011CB"/>
    <w:rsid w:val="002F330B"/>
    <w:rsid w:val="003371D8"/>
    <w:rsid w:val="00B442F5"/>
    <w:rsid w:val="00F44504"/>
    <w:rsid w:val="00FE1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F6BD65"/>
  <w15:chartTrackingRefBased/>
  <w15:docId w15:val="{83025C67-A42F-6144-85EF-CE05E3D4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F5"/>
    <w:pPr>
      <w:spacing w:after="120" w:line="36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B442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442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442F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442F5"/>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B442F5"/>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B442F5"/>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B442F5"/>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B442F5"/>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B442F5"/>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4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F5"/>
    <w:rPr>
      <w:rFonts w:eastAsiaTheme="majorEastAsia" w:cstheme="majorBidi"/>
      <w:color w:val="272727" w:themeColor="text1" w:themeTint="D8"/>
    </w:rPr>
  </w:style>
  <w:style w:type="paragraph" w:styleId="Title">
    <w:name w:val="Title"/>
    <w:basedOn w:val="Normal"/>
    <w:next w:val="Normal"/>
    <w:link w:val="TitleChar"/>
    <w:uiPriority w:val="10"/>
    <w:qFormat/>
    <w:rsid w:val="00B442F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44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F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44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F5"/>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B442F5"/>
    <w:rPr>
      <w:i/>
      <w:iCs/>
      <w:color w:val="404040" w:themeColor="text1" w:themeTint="BF"/>
    </w:rPr>
  </w:style>
  <w:style w:type="paragraph" w:styleId="ListParagraph">
    <w:name w:val="List Paragraph"/>
    <w:basedOn w:val="Normal"/>
    <w:uiPriority w:val="34"/>
    <w:qFormat/>
    <w:rsid w:val="00B442F5"/>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B442F5"/>
    <w:rPr>
      <w:i/>
      <w:iCs/>
      <w:color w:val="0F4761" w:themeColor="accent1" w:themeShade="BF"/>
    </w:rPr>
  </w:style>
  <w:style w:type="paragraph" w:styleId="IntenseQuote">
    <w:name w:val="Intense Quote"/>
    <w:basedOn w:val="Normal"/>
    <w:next w:val="Normal"/>
    <w:link w:val="IntenseQuoteChar"/>
    <w:uiPriority w:val="30"/>
    <w:qFormat/>
    <w:rsid w:val="00B442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B442F5"/>
    <w:rPr>
      <w:i/>
      <w:iCs/>
      <w:color w:val="0F4761" w:themeColor="accent1" w:themeShade="BF"/>
    </w:rPr>
  </w:style>
  <w:style w:type="character" w:styleId="IntenseReference">
    <w:name w:val="Intense Reference"/>
    <w:basedOn w:val="DefaultParagraphFont"/>
    <w:uiPriority w:val="32"/>
    <w:qFormat/>
    <w:rsid w:val="00B442F5"/>
    <w:rPr>
      <w:b/>
      <w:bCs/>
      <w:smallCaps/>
      <w:color w:val="0F4761" w:themeColor="accent1" w:themeShade="BF"/>
      <w:spacing w:val="5"/>
    </w:rPr>
  </w:style>
  <w:style w:type="paragraph" w:styleId="Footer">
    <w:name w:val="footer"/>
    <w:basedOn w:val="Normal"/>
    <w:link w:val="FooterChar"/>
    <w:uiPriority w:val="99"/>
    <w:unhideWhenUsed/>
    <w:rsid w:val="00B44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2F5"/>
    <w:rPr>
      <w:rFonts w:ascii="Times New Roman" w:eastAsia="Times New Roman" w:hAnsi="Times New Roman"/>
      <w:kern w:val="0"/>
      <w:szCs w:val="22"/>
      <w14:ligatures w14:val="none"/>
    </w:rPr>
  </w:style>
  <w:style w:type="table" w:styleId="TableGrid">
    <w:name w:val="Table Grid"/>
    <w:basedOn w:val="TableNormal"/>
    <w:uiPriority w:val="59"/>
    <w:rsid w:val="00B442F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3896</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Niyonsingiza</dc:creator>
  <cp:keywords/>
  <dc:description/>
  <cp:lastModifiedBy>Douglas Niyonsingiza</cp:lastModifiedBy>
  <cp:revision>1</cp:revision>
  <dcterms:created xsi:type="dcterms:W3CDTF">2026-07-06T23:30:00Z</dcterms:created>
  <dcterms:modified xsi:type="dcterms:W3CDTF">2026-07-06T23:43:00Z</dcterms:modified>
</cp:coreProperties>
</file>